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567"/>
        <w:gridCol w:w="4962"/>
        <w:gridCol w:w="2551"/>
        <w:gridCol w:w="2410"/>
      </w:tblGrid>
      <w:tr w:rsidR="006B2E97" w:rsidTr="00500658">
        <w:tc>
          <w:tcPr>
            <w:tcW w:w="10560" w:type="dxa"/>
            <w:gridSpan w:val="5"/>
            <w:tcBorders>
              <w:bottom w:val="single" w:sz="4" w:space="0" w:color="auto"/>
            </w:tcBorders>
          </w:tcPr>
          <w:p w:rsidR="006B2E97" w:rsidRDefault="006B2E97" w:rsidP="007363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Matematica &amp; Realtà</w:t>
            </w:r>
          </w:p>
          <w:p w:rsidR="006B2E97" w:rsidRDefault="006B2E97" w:rsidP="0073632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Gara di Modellizzazione 201</w:t>
            </w:r>
            <w:r w:rsidR="00940CAA">
              <w:rPr>
                <w:i/>
              </w:rPr>
              <w:t>8</w:t>
            </w:r>
            <w:r w:rsidR="00C90466">
              <w:rPr>
                <w:i/>
              </w:rPr>
              <w:t>-1</w:t>
            </w:r>
            <w:r w:rsidR="00940CAA">
              <w:rPr>
                <w:i/>
              </w:rPr>
              <w:t>9</w:t>
            </w:r>
            <w:r>
              <w:rPr>
                <w:i/>
              </w:rPr>
              <w:t xml:space="preserve">- FINALE </w:t>
            </w:r>
          </w:p>
          <w:p w:rsidR="006B2E97" w:rsidRDefault="006B2E97" w:rsidP="0073632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Tempo massimo per lo svolgimento: 90 min</w:t>
            </w:r>
          </w:p>
          <w:p w:rsidR="006B2E97" w:rsidRPr="006B2E12" w:rsidRDefault="006B2E97" w:rsidP="00736324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6B2E97" w:rsidTr="00500658"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2E97" w:rsidRDefault="006B2E97" w:rsidP="00E729DE">
            <w:pPr>
              <w:spacing w:after="0" w:line="240" w:lineRule="auto"/>
              <w:rPr>
                <w:b/>
              </w:rPr>
            </w:pPr>
            <w:r w:rsidRPr="00C93852">
              <w:rPr>
                <w:sz w:val="28"/>
                <w:szCs w:val="8"/>
              </w:rPr>
              <w:t>PIN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pPr w:leftFromText="141" w:rightFromText="141" w:vertAnchor="text" w:horzAnchor="margin" w:tblpY="32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A81727" w:rsidRPr="00E62D11" w:rsidTr="00A81727">
              <w:tc>
                <w:tcPr>
                  <w:tcW w:w="567" w:type="dxa"/>
                </w:tcPr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81727" w:rsidRPr="00E62D11" w:rsidRDefault="00A81727" w:rsidP="00A81727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</w:tr>
          </w:tbl>
          <w:p w:rsidR="006B2E97" w:rsidRDefault="006B2E97" w:rsidP="0073632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E97" w:rsidRDefault="006B2E97" w:rsidP="00736324">
            <w:pPr>
              <w:spacing w:after="0" w:line="240" w:lineRule="auto"/>
              <w:jc w:val="center"/>
              <w:rPr>
                <w:b/>
              </w:rPr>
            </w:pPr>
            <w:r>
              <w:t xml:space="preserve">Tempo impiegato per lo svolgimento ....................  </w:t>
            </w:r>
          </w:p>
        </w:tc>
      </w:tr>
      <w:tr w:rsidR="006B2E97" w:rsidTr="005006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5"/>
          </w:tcPr>
          <w:p w:rsidR="006B2E97" w:rsidRPr="00126B08" w:rsidRDefault="006B2E97" w:rsidP="0073632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6B2E97" w:rsidRDefault="006B2E97" w:rsidP="007363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12020">
              <w:rPr>
                <w:b/>
                <w:sz w:val="28"/>
                <w:szCs w:val="28"/>
              </w:rPr>
              <w:t xml:space="preserve">Sezione </w:t>
            </w:r>
            <w:r>
              <w:rPr>
                <w:b/>
                <w:sz w:val="28"/>
                <w:szCs w:val="28"/>
              </w:rPr>
              <w:t>INTERMEDIA</w:t>
            </w:r>
          </w:p>
          <w:p w:rsidR="006B2E97" w:rsidRPr="00126B08" w:rsidRDefault="006B2E97" w:rsidP="00736324">
            <w:pPr>
              <w:spacing w:after="0" w:line="240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6A275C" w:rsidTr="005006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5"/>
          </w:tcPr>
          <w:p w:rsidR="006A275C" w:rsidRDefault="006A275C" w:rsidP="006A275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Rispondere ai quesiti seguenti motivando le risposte</w:t>
            </w:r>
            <w:r w:rsidR="00535BD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aggiungendo</w:t>
            </w:r>
            <w:r w:rsidR="00535BD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eventualmente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un commento.</w:t>
            </w:r>
          </w:p>
          <w:p w:rsidR="006A275C" w:rsidRPr="00126B08" w:rsidRDefault="006A275C" w:rsidP="0073632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</w:tc>
      </w:tr>
      <w:tr w:rsidR="005C65E9" w:rsidTr="005006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</w:trPr>
        <w:tc>
          <w:tcPr>
            <w:tcW w:w="8080" w:type="dxa"/>
            <w:gridSpan w:val="3"/>
          </w:tcPr>
          <w:p w:rsidR="005C65E9" w:rsidRPr="008B5D9E" w:rsidRDefault="005C65E9" w:rsidP="007C443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8B5D9E">
              <w:rPr>
                <w:rFonts w:ascii="Arial" w:hAnsi="Arial" w:cs="Arial"/>
                <w:b/>
              </w:rPr>
              <w:t xml:space="preserve">.   </w:t>
            </w:r>
            <w:r>
              <w:rPr>
                <w:rFonts w:ascii="Arial" w:hAnsi="Arial" w:cs="Arial"/>
                <w:b/>
              </w:rPr>
              <w:t>Il medico che ingabbiò una donna in un capello</w:t>
            </w:r>
          </w:p>
          <w:p w:rsidR="005C65E9" w:rsidRPr="008B5D9E" w:rsidRDefault="005C65E9" w:rsidP="007C4431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vMerge w:val="restart"/>
          </w:tcPr>
          <w:p w:rsidR="005C65E9" w:rsidRDefault="005C65E9" w:rsidP="007C443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1440180" cy="2186940"/>
                  <wp:effectExtent l="19050" t="0" r="7620" b="0"/>
                  <wp:docPr id="7" name="Immagine 1" descr="capel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pel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2186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65E9" w:rsidTr="005006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</w:trPr>
        <w:tc>
          <w:tcPr>
            <w:tcW w:w="8080" w:type="dxa"/>
            <w:gridSpan w:val="3"/>
          </w:tcPr>
          <w:p w:rsidR="005C65E9" w:rsidRPr="009C1FD1" w:rsidRDefault="005C65E9" w:rsidP="007C443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>Fritz Kahn (1988-1968) è un medico tedesco che ha pubblicato libri di divulgazione scientifica ed è noto per le sue illustrazioni che sono state pioniere dell'infografica.   Ebreo, scampato all'olocausto (anche con l'aiuto di Albert Einstein) e celebrato in vita, ma dimenticato dopo la morte.</w:t>
            </w:r>
          </w:p>
          <w:p w:rsidR="00231AA9" w:rsidRDefault="005C65E9" w:rsidP="004A57B3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 xml:space="preserve">Tra le sue intuizioni più preziose quella di volgere in aneddoti e paradossi i più minuti fenomeni della biologia umana.   Uno di questi riguarda la crescita quotidiana dei capelli illustrata (immagine a lato) da una donna avvolta in un lungo filo. </w:t>
            </w:r>
          </w:p>
          <w:p w:rsidR="00231AA9" w:rsidRDefault="00231AA9" w:rsidP="004A57B3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AA9">
              <w:rPr>
                <w:rFonts w:ascii="Arial" w:hAnsi="Arial" w:cs="Arial"/>
                <w:sz w:val="18"/>
                <w:szCs w:val="18"/>
              </w:rPr>
              <w:t>In effetti il corpo produce .............. m di sostanza capillare al giorno. Il dott. Khan afferma che se convergesse in un unico capello questo crescerebbe alla velocità di un metro ogni 40 minuti.</w:t>
            </w:r>
          </w:p>
          <w:p w:rsidR="00231AA9" w:rsidRPr="009C1FD1" w:rsidRDefault="00231AA9" w:rsidP="00231AA9">
            <w:pPr>
              <w:spacing w:after="0" w:line="240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231AA9" w:rsidRDefault="00231AA9" w:rsidP="00231AA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>Fonte: Il Venerdì, 21 luglio 2017</w:t>
            </w:r>
          </w:p>
          <w:p w:rsidR="005C65E9" w:rsidRPr="00231AA9" w:rsidRDefault="005C65E9" w:rsidP="007C4431">
            <w:pPr>
              <w:spacing w:after="0" w:line="240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5C65E9" w:rsidRDefault="005C65E9" w:rsidP="005C65E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1.1 </w:t>
            </w:r>
            <w:r w:rsidR="00231AA9">
              <w:rPr>
                <w:rFonts w:ascii="Arial" w:hAnsi="Arial" w:cs="Arial"/>
                <w:b/>
                <w:sz w:val="20"/>
                <w:szCs w:val="20"/>
              </w:rPr>
              <w:t>Riempire lo spazio dei puntini.</w:t>
            </w:r>
          </w:p>
          <w:p w:rsidR="005C65E9" w:rsidRDefault="00247D5D" w:rsidP="005C65E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3127375</wp:posOffset>
                      </wp:positionH>
                      <wp:positionV relativeFrom="paragraph">
                        <wp:posOffset>149860</wp:posOffset>
                      </wp:positionV>
                      <wp:extent cx="1958975" cy="292100"/>
                      <wp:effectExtent l="9525" t="13970" r="12700" b="8255"/>
                      <wp:wrapNone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8975" cy="292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246.25pt;margin-top:11.8pt;width:154.25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" strokeweight="1pt"/>
                  </w:pict>
                </mc:Fallback>
              </mc:AlternateContent>
            </w:r>
            <w:r w:rsidR="005C65E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C5EF7">
              <w:rPr>
                <w:rFonts w:ascii="Arial" w:hAnsi="Arial" w:cs="Arial"/>
                <w:b/>
                <w:sz w:val="20"/>
                <w:szCs w:val="20"/>
              </w:rPr>
              <w:t xml:space="preserve">.2  Modellizzare la crescita della sostanza capillare (centimetri) in funzione del </w:t>
            </w:r>
            <w:r w:rsidR="002C5EF7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    tempo (minuti), formula</w:t>
            </w:r>
            <w:r w:rsidR="001A5AAE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2C5EF7">
              <w:rPr>
                <w:rFonts w:ascii="Arial" w:hAnsi="Arial" w:cs="Arial"/>
                <w:b/>
                <w:sz w:val="20"/>
                <w:szCs w:val="20"/>
              </w:rPr>
              <w:t>ione e grafico</w:t>
            </w:r>
          </w:p>
          <w:p w:rsidR="005C65E9" w:rsidRPr="00DC5753" w:rsidRDefault="005C65E9" w:rsidP="007C4431">
            <w:pPr>
              <w:spacing w:after="0" w:line="240" w:lineRule="auto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  <w:p w:rsidR="005C65E9" w:rsidRPr="00095D4E" w:rsidRDefault="005C65E9" w:rsidP="007C443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bottom"/>
          </w:tcPr>
          <w:p w:rsidR="005C65E9" w:rsidRDefault="005C65E9" w:rsidP="007C443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00658" w:rsidTr="005006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560" w:type="dxa"/>
            <w:gridSpan w:val="5"/>
          </w:tcPr>
          <w:tbl>
            <w:tblPr>
              <w:tblStyle w:val="Grigliatabella"/>
              <w:tblpPr w:leftFromText="141" w:rightFromText="141" w:vertAnchor="text" w:horzAnchor="margin" w:tblpXSpec="right" w:tblpY="3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5"/>
              <w:gridCol w:w="826"/>
              <w:gridCol w:w="850"/>
            </w:tblGrid>
            <w:tr w:rsidR="00A823D9" w:rsidTr="00A823D9">
              <w:tc>
                <w:tcPr>
                  <w:tcW w:w="875" w:type="dxa"/>
                </w:tcPr>
                <w:p w:rsidR="00A823D9" w:rsidRPr="00A823D9" w:rsidRDefault="00A823D9" w:rsidP="007E5C7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823D9">
                    <w:rPr>
                      <w:rFonts w:ascii="Arial" w:hAnsi="Arial" w:cs="Arial"/>
                      <w:b/>
                      <w:sz w:val="20"/>
                      <w:szCs w:val="20"/>
                    </w:rPr>
                    <w:t>giorni</w:t>
                  </w:r>
                </w:p>
              </w:tc>
              <w:tc>
                <w:tcPr>
                  <w:tcW w:w="826" w:type="dxa"/>
                </w:tcPr>
                <w:p w:rsidR="00A823D9" w:rsidRPr="00A823D9" w:rsidRDefault="00A823D9" w:rsidP="007E5C7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823D9">
                    <w:rPr>
                      <w:rFonts w:ascii="Arial" w:hAnsi="Arial" w:cs="Arial"/>
                      <w:b/>
                      <w:sz w:val="20"/>
                      <w:szCs w:val="20"/>
                    </w:rPr>
                    <w:t>ore</w:t>
                  </w:r>
                </w:p>
              </w:tc>
              <w:tc>
                <w:tcPr>
                  <w:tcW w:w="850" w:type="dxa"/>
                </w:tcPr>
                <w:p w:rsidR="00A823D9" w:rsidRPr="00A823D9" w:rsidRDefault="00A823D9" w:rsidP="007E5C7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823D9">
                    <w:rPr>
                      <w:rFonts w:ascii="Arial" w:hAnsi="Arial" w:cs="Arial"/>
                      <w:b/>
                      <w:sz w:val="20"/>
                      <w:szCs w:val="20"/>
                    </w:rPr>
                    <w:t>minuti</w:t>
                  </w:r>
                </w:p>
              </w:tc>
            </w:tr>
            <w:tr w:rsidR="00A823D9" w:rsidTr="00A823D9">
              <w:tc>
                <w:tcPr>
                  <w:tcW w:w="875" w:type="dxa"/>
                </w:tcPr>
                <w:p w:rsidR="00A823D9" w:rsidRDefault="00A823D9" w:rsidP="007E5C7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A823D9" w:rsidRPr="00A823D9" w:rsidRDefault="00A823D9" w:rsidP="007E5C7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26" w:type="dxa"/>
                </w:tcPr>
                <w:p w:rsidR="00A823D9" w:rsidRPr="00A823D9" w:rsidRDefault="00A823D9" w:rsidP="007E5C7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A823D9" w:rsidRPr="00A823D9" w:rsidRDefault="00A823D9" w:rsidP="007E5C7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823D9" w:rsidRDefault="00500658" w:rsidP="00A823D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35BB8">
              <w:rPr>
                <w:rFonts w:ascii="Arial" w:hAnsi="Arial" w:cs="Arial"/>
                <w:b/>
                <w:sz w:val="20"/>
                <w:szCs w:val="20"/>
              </w:rPr>
              <w:t xml:space="preserve">1.3 </w:t>
            </w:r>
            <w:r w:rsidR="00A823D9" w:rsidRPr="00835BB8">
              <w:rPr>
                <w:rFonts w:ascii="Arial" w:hAnsi="Arial" w:cs="Arial"/>
                <w:b/>
                <w:sz w:val="20"/>
                <w:szCs w:val="20"/>
              </w:rPr>
              <w:t xml:space="preserve">Sulla base del modello, </w:t>
            </w:r>
            <w:r w:rsidR="00A823D9">
              <w:rPr>
                <w:rFonts w:ascii="Arial" w:hAnsi="Arial" w:cs="Arial"/>
                <w:b/>
                <w:sz w:val="20"/>
                <w:szCs w:val="20"/>
              </w:rPr>
              <w:t xml:space="preserve">valutare </w:t>
            </w:r>
            <w:r w:rsidR="00A823D9" w:rsidRPr="00835BB8">
              <w:rPr>
                <w:rFonts w:ascii="Arial" w:hAnsi="Arial" w:cs="Arial"/>
                <w:b/>
                <w:sz w:val="20"/>
                <w:szCs w:val="20"/>
              </w:rPr>
              <w:t>quant</w:t>
            </w:r>
            <w:r w:rsidR="00A823D9">
              <w:rPr>
                <w:rFonts w:ascii="Arial" w:hAnsi="Arial" w:cs="Arial"/>
                <w:b/>
                <w:sz w:val="20"/>
                <w:szCs w:val="20"/>
              </w:rPr>
              <w:t xml:space="preserve">o tempo è necessario alla materia </w:t>
            </w:r>
            <w:r w:rsidR="0079615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A823D9">
              <w:rPr>
                <w:rFonts w:ascii="Arial" w:hAnsi="Arial" w:cs="Arial"/>
                <w:b/>
                <w:sz w:val="20"/>
                <w:szCs w:val="20"/>
              </w:rPr>
              <w:t>capillare per raggiunge la lunghezza di 1 km.</w:t>
            </w:r>
          </w:p>
          <w:p w:rsidR="00500658" w:rsidRPr="001A6E05" w:rsidRDefault="00500658" w:rsidP="005A18C1">
            <w:pPr>
              <w:spacing w:after="0" w:line="240" w:lineRule="au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:rsidR="00500658" w:rsidRDefault="00500658"/>
    <w:p w:rsidR="00A823D9" w:rsidRDefault="00A823D9"/>
    <w:p w:rsidR="00500658" w:rsidRDefault="00500658"/>
    <w:p w:rsidR="00500658" w:rsidRDefault="00500658"/>
    <w:p w:rsidR="00500658" w:rsidRDefault="00500658"/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"/>
        <w:gridCol w:w="8717"/>
        <w:gridCol w:w="1843"/>
      </w:tblGrid>
      <w:tr w:rsidR="00FA2841" w:rsidTr="00F702A2">
        <w:trPr>
          <w:gridBefore w:val="1"/>
          <w:wBefore w:w="72" w:type="dxa"/>
          <w:trHeight w:val="20"/>
        </w:trPr>
        <w:tc>
          <w:tcPr>
            <w:tcW w:w="10560" w:type="dxa"/>
            <w:gridSpan w:val="2"/>
            <w:tcBorders>
              <w:top w:val="single" w:sz="24" w:space="0" w:color="BFBFBF" w:themeColor="background1" w:themeShade="BF"/>
            </w:tcBorders>
          </w:tcPr>
          <w:p w:rsidR="00FA2841" w:rsidRPr="001A6E05" w:rsidRDefault="00FA2841" w:rsidP="005A18C1">
            <w:pPr>
              <w:spacing w:after="0" w:line="240" w:lineRule="au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F6CDE" w:rsidTr="00F702A2">
        <w:tblPrEx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8789" w:type="dxa"/>
            <w:gridSpan w:val="2"/>
          </w:tcPr>
          <w:p w:rsidR="00AF6CDE" w:rsidRDefault="00AF6CDE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Permanent Marker" w:hAnsi="Arial" w:cs="Arial"/>
                <w:b/>
                <w:color w:val="auto"/>
                <w:sz w:val="22"/>
                <w:szCs w:val="22"/>
              </w:rPr>
              <w:t>2.  Il ricco regno delle due Sicilie</w:t>
            </w:r>
          </w:p>
          <w:p w:rsidR="00AF6CDE" w:rsidRPr="00744061" w:rsidRDefault="00AF6CDE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12"/>
                <w:szCs w:val="12"/>
              </w:rPr>
            </w:pPr>
          </w:p>
          <w:p w:rsidR="00AF6CDE" w:rsidRDefault="00AF6CDE" w:rsidP="00F25322">
            <w:pPr>
              <w:pStyle w:val="Normale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FB17F1">
              <w:rPr>
                <w:rFonts w:ascii="Arial" w:eastAsia="Arial" w:hAnsi="Arial" w:cs="Arial"/>
                <w:sz w:val="18"/>
                <w:szCs w:val="18"/>
              </w:rPr>
              <w:t>Alla luce dell’unità d’Italia nel 1861 il Regno delle Due Sicilie aveva un debito pubblico trai i più bassi d’Europa circa 411.575.000 Lire (quello d</w:t>
            </w:r>
            <w:r w:rsidR="00F23F64">
              <w:rPr>
                <w:rFonts w:ascii="Arial" w:eastAsia="Arial" w:hAnsi="Arial" w:cs="Arial"/>
                <w:sz w:val="18"/>
                <w:szCs w:val="18"/>
              </w:rPr>
              <w:t>i Sardegna/P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iemonte raggiungeva l’astronomica cifra di 2.000.000.000 di Lire).Inoltre non emetteva carta moneta</w:t>
            </w:r>
            <w:r w:rsidR="00F23F64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 xml:space="preserve"> ma coniava monete d’oro e argento portatrici del loro valore. </w:t>
            </w:r>
          </w:p>
          <w:p w:rsidR="00AF6CDE" w:rsidRDefault="00AF6CDE" w:rsidP="00F25322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Fonte: 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Francesco Saverio Nitti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Istituto di ricerca storica delle Due Sicilie</w:t>
            </w:r>
          </w:p>
          <w:p w:rsidR="00790807" w:rsidRDefault="00790807" w:rsidP="00F25322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Liberamente ispirato al quesito proposto dal gruppo Galaxi, LS Bertolucci, Parma per la</w:t>
            </w:r>
            <w:r w:rsidR="00F23F64">
              <w:rPr>
                <w:rFonts w:ascii="Arial" w:eastAsia="Arial" w:hAnsi="Arial" w:cs="Arial"/>
                <w:sz w:val="18"/>
                <w:szCs w:val="18"/>
              </w:rPr>
              <w:t xml:space="preserve">Staffetta        </w:t>
            </w:r>
            <w:r>
              <w:rPr>
                <w:rFonts w:ascii="Arial" w:eastAsia="Arial" w:hAnsi="Arial" w:cs="Arial"/>
                <w:sz w:val="18"/>
                <w:szCs w:val="18"/>
              </w:rPr>
              <w:t>SCMM 2016</w:t>
            </w:r>
          </w:p>
          <w:p w:rsidR="00AF6CDE" w:rsidRPr="005D3416" w:rsidRDefault="00AF6CDE" w:rsidP="00F25322">
            <w:pPr>
              <w:pStyle w:val="Normale1"/>
              <w:rPr>
                <w:rFonts w:ascii="Arial" w:eastAsia="Arial" w:hAnsi="Arial" w:cs="Arial"/>
                <w:sz w:val="8"/>
                <w:szCs w:val="8"/>
              </w:rPr>
            </w:pPr>
          </w:p>
          <w:p w:rsidR="00AF6CDE" w:rsidRPr="008A5EB8" w:rsidRDefault="00247D5D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</w:rPr>
            </w:pPr>
            <w:r>
              <w:rPr>
                <w:rFonts w:ascii="Arial" w:eastAsia="Permanent Marker" w:hAnsi="Arial" w:cs="Arial"/>
                <w:b/>
                <w:noProof/>
                <w:color w:val="auto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4533265</wp:posOffset>
                      </wp:positionH>
                      <wp:positionV relativeFrom="paragraph">
                        <wp:posOffset>37465</wp:posOffset>
                      </wp:positionV>
                      <wp:extent cx="790575" cy="210185"/>
                      <wp:effectExtent l="6350" t="12700" r="12700" b="1524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56.95pt;margin-top:2.95pt;width:62.25pt;height:1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" strokeweight="1pt"/>
                  </w:pict>
                </mc:Fallback>
              </mc:AlternateContent>
            </w:r>
            <w:r w:rsidR="00AF6CDE" w:rsidRPr="008A5EB8">
              <w:rPr>
                <w:rFonts w:ascii="Arial" w:eastAsia="Permanent Marker" w:hAnsi="Arial" w:cs="Arial"/>
                <w:b/>
                <w:color w:val="auto"/>
              </w:rPr>
              <w:t xml:space="preserve">2.1  Determinare il debito pubblico pro-capite medio dei Due Regni.  </w:t>
            </w:r>
          </w:p>
          <w:p w:rsidR="001B5790" w:rsidRDefault="001B5790" w:rsidP="001E07A4">
            <w:pPr>
              <w:pStyle w:val="Normale1"/>
              <w:rPr>
                <w:rFonts w:ascii="Arial" w:eastAsia="Permanent Marker" w:hAnsi="Arial" w:cs="Arial"/>
                <w:color w:val="auto"/>
                <w:sz w:val="18"/>
                <w:szCs w:val="18"/>
              </w:rPr>
            </w:pPr>
          </w:p>
          <w:p w:rsidR="00AF6CDE" w:rsidRDefault="00AF6CDE" w:rsidP="00F25322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18"/>
                <w:szCs w:val="18"/>
              </w:rPr>
            </w:pP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N.B.Popolazione dell'Italia unita 22 milioni, di cui 19,47% nel Regno 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di </w:t>
            </w: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Sardegna</w:t>
            </w:r>
            <w:r w:rsidR="00F23F64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/Piemonte</w:t>
            </w: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e 40,91% nel Regnodelle Due Sicilie )</w:t>
            </w:r>
          </w:p>
          <w:p w:rsidR="008A5EB8" w:rsidRPr="008A5EB8" w:rsidRDefault="00500658" w:rsidP="00F25322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8"/>
                <w:szCs w:val="8"/>
              </w:rPr>
            </w:pPr>
            <w:r>
              <w:rPr>
                <w:rFonts w:ascii="Arial" w:eastAsia="Permanent Marker" w:hAnsi="Arial" w:cs="Arial"/>
                <w:color w:val="auto"/>
                <w:sz w:val="8"/>
                <w:szCs w:val="8"/>
              </w:rPr>
              <w:t>________________________________________________________________________________________________________________________________________________</w:t>
            </w:r>
          </w:p>
          <w:p w:rsidR="00500658" w:rsidRPr="00500658" w:rsidRDefault="00500658" w:rsidP="00F25322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12"/>
                <w:szCs w:val="12"/>
              </w:rPr>
            </w:pPr>
          </w:p>
          <w:p w:rsidR="00AF6CDE" w:rsidRDefault="008A5EB8" w:rsidP="00F25322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18"/>
                <w:szCs w:val="18"/>
              </w:rPr>
            </w:pP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Dopo l'unità d'Italia il debito pubblico italiano ha visto fasi alterne, ma </w:t>
            </w:r>
            <w:r w:rsidR="004C12F6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a partire dal dopoguerra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è stato pressoché crescente.  </w:t>
            </w:r>
            <w:r w:rsidR="00AF6CDE" w:rsidRP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La funzione </w:t>
            </w:r>
            <w:r w:rsidR="0009571E" w:rsidRPr="0009571E">
              <w:rPr>
                <w:rFonts w:ascii="Arial" w:eastAsia="Permanent Marker" w:hAnsi="Arial" w:cs="Arial"/>
                <w:color w:val="auto"/>
                <w:position w:val="-22"/>
                <w:sz w:val="18"/>
                <w:szCs w:val="18"/>
              </w:rPr>
              <w:object w:dxaOrig="32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28.5pt" o:ole="">
                  <v:imagedata r:id="rId8" o:title=""/>
                </v:shape>
                <o:OLEObject Type="Embed" ProgID="Equation.DSMT4" ShapeID="_x0000_i1025" DrawAspect="Content" ObjectID="_1644844193" r:id="rId9"/>
              </w:object>
            </w:r>
            <w:r w:rsidR="00AF6CDE" w:rsidRP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descrive 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il</w:t>
            </w:r>
            <w:r w:rsidR="00AF6CDE" w:rsidRP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debito pubblico italiano </w:t>
            </w:r>
            <w:r w:rsid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(miliardi di lire) 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a partire </w:t>
            </w:r>
            <w:r w:rsidR="00AF6CDE" w:rsidRP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dal </w:t>
            </w:r>
            <w:r w:rsid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1965.  </w:t>
            </w:r>
            <w:r w:rsidR="00AF6CDE" w:rsidRP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Fonte: elaborazione M&amp;R su dati </w:t>
            </w:r>
            <w:r w:rsidR="0009571E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ISTAT</w:t>
            </w:r>
          </w:p>
          <w:p w:rsidR="00AF6CDE" w:rsidRPr="00B37EA9" w:rsidRDefault="00AF6CDE" w:rsidP="00F25322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F6CDE" w:rsidRPr="00FB17F1" w:rsidRDefault="00AF6CDE" w:rsidP="00AF6CDE">
            <w:pPr>
              <w:pStyle w:val="Normale1"/>
              <w:jc w:val="right"/>
              <w:rPr>
                <w:rFonts w:ascii="Arial" w:eastAsia="Permanent Marker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Permanent Marker" w:hAnsi="Arial" w:cs="Arial"/>
                <w:b/>
                <w:noProof/>
                <w:color w:val="auto"/>
                <w:sz w:val="18"/>
                <w:szCs w:val="18"/>
              </w:rPr>
              <w:drawing>
                <wp:inline distT="0" distB="0" distL="0" distR="0">
                  <wp:extent cx="1028700" cy="1684020"/>
                  <wp:effectExtent l="19050" t="0" r="0" b="0"/>
                  <wp:docPr id="3" name="Immagine 1" descr="320px-Great_Royal_Coat_of_Arms_of_the_Two_Sicil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20px-Great_Royal_Coat_of_Arms_of_the_Two_Sicil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68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DE" w:rsidTr="00F702A2">
        <w:tblPrEx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0632" w:type="dxa"/>
            <w:gridSpan w:val="3"/>
            <w:vAlign w:val="center"/>
          </w:tcPr>
          <w:p w:rsidR="00D03F83" w:rsidRPr="00D03F83" w:rsidRDefault="00247D5D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12"/>
                <w:szCs w:val="12"/>
              </w:rPr>
            </w:pPr>
            <w:r>
              <w:rPr>
                <w:rFonts w:ascii="Arial" w:eastAsia="Permanent Marker" w:hAnsi="Arial" w:cs="Arial"/>
                <w:b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5868035</wp:posOffset>
                      </wp:positionH>
                      <wp:positionV relativeFrom="paragraph">
                        <wp:posOffset>19050</wp:posOffset>
                      </wp:positionV>
                      <wp:extent cx="790575" cy="290195"/>
                      <wp:effectExtent l="7620" t="8255" r="11430" b="635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29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462.05pt;margin-top:1.5pt;width:62.25pt;height: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dUVHwIAADw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" strokeweight="1pt"/>
                  </w:pict>
                </mc:Fallback>
              </mc:AlternateContent>
            </w:r>
          </w:p>
          <w:p w:rsidR="00AF6CDE" w:rsidRPr="008A5EB8" w:rsidRDefault="00AF6CDE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</w:rPr>
            </w:pPr>
            <w:r w:rsidRPr="008A5EB8">
              <w:rPr>
                <w:rFonts w:ascii="Arial" w:eastAsia="Permanent Marker" w:hAnsi="Arial" w:cs="Arial"/>
                <w:b/>
                <w:color w:val="auto"/>
              </w:rPr>
              <w:t>2.</w:t>
            </w:r>
            <w:r w:rsidR="008A5EB8" w:rsidRPr="008A5EB8">
              <w:rPr>
                <w:rFonts w:ascii="Arial" w:eastAsia="Permanent Marker" w:hAnsi="Arial" w:cs="Arial"/>
                <w:b/>
                <w:color w:val="auto"/>
              </w:rPr>
              <w:t>3</w:t>
            </w:r>
            <w:r w:rsidR="002B178F">
              <w:rPr>
                <w:rFonts w:ascii="Arial" w:eastAsia="Permanent Marker" w:hAnsi="Arial" w:cs="Arial"/>
                <w:b/>
                <w:color w:val="auto"/>
              </w:rPr>
              <w:t xml:space="preserve"> </w:t>
            </w:r>
            <w:r w:rsidR="00395075" w:rsidRPr="008A5EB8">
              <w:rPr>
                <w:rFonts w:ascii="Arial" w:eastAsia="Permanent Marker" w:hAnsi="Arial" w:cs="Arial"/>
                <w:b/>
                <w:color w:val="auto"/>
              </w:rPr>
              <w:t xml:space="preserve">Valutare il rapporto fra </w:t>
            </w:r>
            <w:r w:rsidRPr="008A5EB8">
              <w:rPr>
                <w:rFonts w:ascii="Arial" w:eastAsia="Permanent Marker" w:hAnsi="Arial" w:cs="Arial"/>
                <w:b/>
                <w:color w:val="auto"/>
              </w:rPr>
              <w:t xml:space="preserve">il debito pubblico pro-capite del </w:t>
            </w:r>
            <w:r w:rsidR="00395075" w:rsidRPr="008A5EB8">
              <w:rPr>
                <w:rFonts w:ascii="Arial" w:eastAsia="Permanent Marker" w:hAnsi="Arial" w:cs="Arial"/>
                <w:b/>
                <w:color w:val="auto"/>
              </w:rPr>
              <w:t>1995 con quello del 1965</w:t>
            </w:r>
            <w:r w:rsidR="008A5EB8" w:rsidRPr="008A5EB8">
              <w:rPr>
                <w:rFonts w:ascii="Arial" w:eastAsia="Permanent Marker" w:hAnsi="Arial" w:cs="Arial"/>
                <w:b/>
                <w:color w:val="auto"/>
              </w:rPr>
              <w:t>.</w:t>
            </w:r>
          </w:p>
          <w:p w:rsidR="00AF6CDE" w:rsidRPr="00C90817" w:rsidRDefault="00AF6CDE" w:rsidP="00F25322">
            <w:pPr>
              <w:pStyle w:val="Normale1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</w:tr>
      <w:tr w:rsidR="00B743AD" w:rsidTr="00DF75A5">
        <w:tblPrEx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0632" w:type="dxa"/>
            <w:gridSpan w:val="3"/>
            <w:vAlign w:val="center"/>
          </w:tcPr>
          <w:tbl>
            <w:tblPr>
              <w:tblStyle w:val="Grigliatabel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872"/>
              <w:gridCol w:w="1154"/>
              <w:gridCol w:w="1513"/>
              <w:gridCol w:w="1513"/>
              <w:gridCol w:w="1514"/>
            </w:tblGrid>
            <w:tr w:rsidR="00B743AD" w:rsidTr="00B743AD">
              <w:trPr>
                <w:jc w:val="center"/>
              </w:trPr>
              <w:tc>
                <w:tcPr>
                  <w:tcW w:w="1872" w:type="dxa"/>
                </w:tcPr>
                <w:p w:rsidR="00B743AD" w:rsidRPr="00B743AD" w:rsidRDefault="00B743AD" w:rsidP="00F25322">
                  <w:pPr>
                    <w:pStyle w:val="Normale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Arial" w:eastAsia="Permanent Marker" w:hAnsi="Arial" w:cs="Arial"/>
                      <w:color w:val="auto"/>
                      <w:sz w:val="18"/>
                      <w:szCs w:val="18"/>
                    </w:rPr>
                  </w:pPr>
                  <w:r w:rsidRPr="00B743AD">
                    <w:rPr>
                      <w:rFonts w:ascii="Arial" w:eastAsia="Permanent Marker" w:hAnsi="Arial" w:cs="Arial"/>
                      <w:color w:val="auto"/>
                      <w:sz w:val="18"/>
                      <w:szCs w:val="18"/>
                    </w:rPr>
                    <w:t>Anno censimento</w:t>
                  </w:r>
                </w:p>
              </w:tc>
              <w:tc>
                <w:tcPr>
                  <w:tcW w:w="1154" w:type="dxa"/>
                </w:tcPr>
                <w:p w:rsidR="00B743AD" w:rsidRDefault="00B743AD" w:rsidP="00B743AD">
                  <w:pPr>
                    <w:pStyle w:val="Normale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center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1961</w:t>
                  </w:r>
                </w:p>
              </w:tc>
              <w:tc>
                <w:tcPr>
                  <w:tcW w:w="1513" w:type="dxa"/>
                </w:tcPr>
                <w:p w:rsidR="00B743AD" w:rsidRDefault="00B743AD" w:rsidP="00B743AD">
                  <w:pPr>
                    <w:pStyle w:val="Normale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center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1971</w:t>
                  </w:r>
                </w:p>
              </w:tc>
              <w:tc>
                <w:tcPr>
                  <w:tcW w:w="1513" w:type="dxa"/>
                </w:tcPr>
                <w:p w:rsidR="00B743AD" w:rsidRDefault="00B743AD" w:rsidP="00B743AD">
                  <w:pPr>
                    <w:pStyle w:val="Normale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center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1991</w:t>
                  </w:r>
                </w:p>
              </w:tc>
              <w:tc>
                <w:tcPr>
                  <w:tcW w:w="1514" w:type="dxa"/>
                </w:tcPr>
                <w:p w:rsidR="00B743AD" w:rsidRDefault="00B743AD" w:rsidP="00B743AD">
                  <w:pPr>
                    <w:pStyle w:val="Normale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center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2001</w:t>
                  </w:r>
                </w:p>
              </w:tc>
            </w:tr>
            <w:tr w:rsidR="00B743AD" w:rsidTr="00B743AD">
              <w:trPr>
                <w:jc w:val="center"/>
              </w:trPr>
              <w:tc>
                <w:tcPr>
                  <w:tcW w:w="1872" w:type="dxa"/>
                </w:tcPr>
                <w:p w:rsidR="00B743AD" w:rsidRPr="00B743AD" w:rsidRDefault="00B743AD" w:rsidP="00F25322">
                  <w:pPr>
                    <w:pStyle w:val="Normale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rPr>
                      <w:rFonts w:ascii="Arial" w:eastAsia="Permanent Marker" w:hAnsi="Arial" w:cs="Arial"/>
                      <w:color w:val="auto"/>
                      <w:sz w:val="18"/>
                      <w:szCs w:val="18"/>
                    </w:rPr>
                  </w:pPr>
                  <w:r w:rsidRPr="00B743AD">
                    <w:rPr>
                      <w:rFonts w:ascii="Arial" w:eastAsia="Permanent Marker" w:hAnsi="Arial" w:cs="Arial"/>
                      <w:color w:val="auto"/>
                      <w:sz w:val="18"/>
                      <w:szCs w:val="18"/>
                    </w:rPr>
                    <w:t>Popolazione italiana</w:t>
                  </w:r>
                </w:p>
              </w:tc>
              <w:tc>
                <w:tcPr>
                  <w:tcW w:w="1154" w:type="dxa"/>
                </w:tcPr>
                <w:p w:rsidR="00B743AD" w:rsidRDefault="00B743AD" w:rsidP="00B743AD">
                  <w:pPr>
                    <w:pStyle w:val="Normale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right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50623569</w:t>
                  </w:r>
                </w:p>
              </w:tc>
              <w:tc>
                <w:tcPr>
                  <w:tcW w:w="1513" w:type="dxa"/>
                </w:tcPr>
                <w:p w:rsidR="00B743AD" w:rsidRDefault="00B743AD" w:rsidP="00B743AD">
                  <w:pPr>
                    <w:pStyle w:val="Normale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right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54136547</w:t>
                  </w:r>
                </w:p>
              </w:tc>
              <w:tc>
                <w:tcPr>
                  <w:tcW w:w="1513" w:type="dxa"/>
                </w:tcPr>
                <w:p w:rsidR="00B743AD" w:rsidRDefault="00B743AD" w:rsidP="00B743AD">
                  <w:pPr>
                    <w:pStyle w:val="Normale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right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56778031</w:t>
                  </w:r>
                </w:p>
              </w:tc>
              <w:tc>
                <w:tcPr>
                  <w:tcW w:w="1514" w:type="dxa"/>
                </w:tcPr>
                <w:p w:rsidR="00B743AD" w:rsidRDefault="00B743AD" w:rsidP="00B743AD">
                  <w:pPr>
                    <w:pStyle w:val="Normale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jc w:val="right"/>
                    <w:rPr>
                      <w:rFonts w:ascii="Arial" w:eastAsia="Permanent Marker" w:hAnsi="Arial" w:cs="Arial"/>
                      <w:b/>
                      <w:color w:val="auto"/>
                    </w:rPr>
                  </w:pPr>
                  <w:r w:rsidRPr="00AE1E86">
                    <w:rPr>
                      <w:rFonts w:ascii="Arial" w:hAnsi="Arial" w:cs="Arial"/>
                      <w:b/>
                      <w:bCs/>
                      <w:color w:val="333333"/>
                      <w:sz w:val="18"/>
                      <w:szCs w:val="18"/>
                    </w:rPr>
                    <w:t>56995744</w:t>
                  </w:r>
                </w:p>
              </w:tc>
            </w:tr>
          </w:tbl>
          <w:p w:rsidR="00B743AD" w:rsidRDefault="00B743AD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</w:rPr>
            </w:pPr>
          </w:p>
          <w:p w:rsidR="00B743AD" w:rsidRDefault="00B743AD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</w:rPr>
            </w:pPr>
          </w:p>
          <w:p w:rsidR="00B743AD" w:rsidRPr="008A5EB8" w:rsidRDefault="00B743AD" w:rsidP="00F25322">
            <w:pPr>
              <w:pStyle w:val="Normale1"/>
              <w:rPr>
                <w:rFonts w:ascii="Arial" w:eastAsia="Permanent Marker" w:hAnsi="Arial" w:cs="Arial"/>
                <w:b/>
                <w:color w:val="auto"/>
              </w:rPr>
            </w:pPr>
          </w:p>
        </w:tc>
      </w:tr>
    </w:tbl>
    <w:p w:rsidR="007228FB" w:rsidRDefault="007228FB" w:rsidP="00C14ED5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0B41F7" w:rsidRDefault="000B41F7" w:rsidP="00C14ED5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7228FB" w:rsidRDefault="007228FB" w:rsidP="00C14ED5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7228FB" w:rsidRDefault="007228FB" w:rsidP="00C14ED5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6F453F" w:rsidRDefault="006F453F"/>
    <w:p w:rsidR="00294680" w:rsidRDefault="00294680" w:rsidP="00940CAA"/>
    <w:p w:rsidR="00A21552" w:rsidRDefault="00A21552" w:rsidP="00940CAA"/>
    <w:p w:rsidR="005F3365" w:rsidRDefault="005F3365" w:rsidP="00940CAA"/>
    <w:p w:rsidR="00AA7DA7" w:rsidRDefault="00AA7DA7" w:rsidP="00940CAA"/>
    <w:p w:rsidR="00AA7DA7" w:rsidRDefault="00AA7DA7" w:rsidP="00940CAA"/>
    <w:p w:rsidR="00A21552" w:rsidRDefault="00A21552" w:rsidP="00940CAA"/>
    <w:tbl>
      <w:tblPr>
        <w:tblW w:w="0" w:type="auto"/>
        <w:tblInd w:w="57" w:type="dxa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1843"/>
        <w:gridCol w:w="2410"/>
      </w:tblGrid>
      <w:tr w:rsidR="00AB32DD" w:rsidTr="00187525">
        <w:tc>
          <w:tcPr>
            <w:tcW w:w="62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B32DD" w:rsidRDefault="00AB32DD" w:rsidP="0018752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</w:rPr>
              <w:t>3. Eurochocolate</w:t>
            </w:r>
          </w:p>
          <w:p w:rsidR="00AB32DD" w:rsidRPr="005853E8" w:rsidRDefault="00AB32DD" w:rsidP="0018752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:rsidR="006F453F" w:rsidRPr="0082772E" w:rsidRDefault="006F453F" w:rsidP="006F453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Dal 18 al 27 ottobre 2018 si è tenuta a Perugia la 25-esima edizione di Eurochocolate, la Festa del Cioccolato.  Grandissimo successo e notevole affluenza di ... golosi.   In quei giorni </w:t>
            </w:r>
            <w:r w:rsidR="00A8495E">
              <w:rPr>
                <w:rFonts w:ascii="Arial" w:hAnsi="Arial" w:cs="Arial"/>
                <w:color w:val="000000"/>
                <w:sz w:val="20"/>
                <w:szCs w:val="20"/>
              </w:rPr>
              <w:t xml:space="preserve">tutta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la città profumava di cioccolato</w:t>
            </w:r>
            <w:r w:rsidR="00A8495E">
              <w:rPr>
                <w:rFonts w:ascii="Arial" w:hAnsi="Arial" w:cs="Arial"/>
                <w:color w:val="000000"/>
                <w:sz w:val="20"/>
                <w:szCs w:val="20"/>
              </w:rPr>
              <w:t xml:space="preserve">. 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La storica Drogheria Eredi Bavicchi proponeva l'offerta che potete vedere nell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immagin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ia lato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F453F" w:rsidRPr="0082772E" w:rsidRDefault="006F453F" w:rsidP="006F453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6F453F" w:rsidRDefault="006F453F" w:rsidP="006F453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7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Indicato con  u  il prezzo di una tavoletta, </w:t>
            </w:r>
            <w:r w:rsidRPr="00A849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determinare </w:t>
            </w:r>
            <w:r w:rsidR="00B743AD">
              <w:rPr>
                <w:rFonts w:ascii="Arial" w:hAnsi="Arial" w:cs="Arial"/>
                <w:b/>
                <w:bCs/>
                <w:sz w:val="20"/>
                <w:szCs w:val="20"/>
              </w:rPr>
              <w:t>il costo medio (a pezzo) al variare del numeri di pezzi acquistati</w:t>
            </w:r>
            <w:r w:rsidRPr="0082772E">
              <w:rPr>
                <w:rFonts w:ascii="Arial" w:hAnsi="Arial" w:cs="Arial"/>
                <w:b/>
                <w:bCs/>
                <w:sz w:val="20"/>
                <w:szCs w:val="20"/>
              </w:rPr>
              <w:t>, per acquisti fino a 15 tavolette.</w:t>
            </w:r>
          </w:p>
          <w:p w:rsidR="006F453F" w:rsidRPr="0082772E" w:rsidRDefault="006F453F" w:rsidP="006F453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7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Rappresentare </w:t>
            </w:r>
            <w:r w:rsidR="00B743AD">
              <w:rPr>
                <w:rFonts w:ascii="Arial" w:hAnsi="Arial" w:cs="Arial"/>
                <w:b/>
                <w:bCs/>
                <w:sz w:val="20"/>
                <w:szCs w:val="20"/>
              </w:rPr>
              <w:t>il risultato ottenuto in un riferimento cartesiano.</w:t>
            </w:r>
          </w:p>
          <w:p w:rsidR="00AB32DD" w:rsidRDefault="00AB32DD" w:rsidP="0018752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B32DD" w:rsidRDefault="00AB32DD" w:rsidP="0018752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AB32DD" w:rsidRDefault="00307292" w:rsidP="00187525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307292">
              <w:rPr>
                <w:rFonts w:ascii="Arial" w:hAnsi="Arial" w:cs="Arial"/>
                <w:b/>
                <w:noProof/>
                <w:color w:val="000000"/>
              </w:rPr>
              <w:drawing>
                <wp:inline distT="0" distB="0" distL="0" distR="0">
                  <wp:extent cx="1125855" cy="2279650"/>
                  <wp:effectExtent l="19050" t="0" r="0" b="0"/>
                  <wp:docPr id="4" name="Immagine 0" descr="offerta eurocioccol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fferta eurocioccolata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855" cy="227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AB32DD" w:rsidRDefault="00AB32DD" w:rsidP="00187525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noProof/>
                <w:color w:val="FF0000"/>
              </w:rPr>
              <w:drawing>
                <wp:inline distT="0" distB="0" distL="0" distR="0">
                  <wp:extent cx="1478280" cy="2628900"/>
                  <wp:effectExtent l="19050" t="0" r="7620" b="0"/>
                  <wp:docPr id="2" name="Immagine 2" descr="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2DD" w:rsidRDefault="00AB32DD" w:rsidP="00940CAA"/>
    <w:p w:rsidR="006F453F" w:rsidRDefault="006F453F" w:rsidP="00940CAA"/>
    <w:sectPr w:rsidR="006F453F" w:rsidSect="00A745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manent Marke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710C3"/>
    <w:multiLevelType w:val="hybridMultilevel"/>
    <w:tmpl w:val="73949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E470C"/>
    <w:multiLevelType w:val="multilevel"/>
    <w:tmpl w:val="766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A243EF"/>
    <w:multiLevelType w:val="hybridMultilevel"/>
    <w:tmpl w:val="7F24FF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11D08"/>
    <w:multiLevelType w:val="hybridMultilevel"/>
    <w:tmpl w:val="056EC8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94"/>
    <w:rsid w:val="00005114"/>
    <w:rsid w:val="00011393"/>
    <w:rsid w:val="00024E95"/>
    <w:rsid w:val="000352B7"/>
    <w:rsid w:val="00047983"/>
    <w:rsid w:val="00061143"/>
    <w:rsid w:val="000662E5"/>
    <w:rsid w:val="00087095"/>
    <w:rsid w:val="0009571E"/>
    <w:rsid w:val="000A499F"/>
    <w:rsid w:val="000B41F7"/>
    <w:rsid w:val="000B7558"/>
    <w:rsid w:val="000E7C27"/>
    <w:rsid w:val="000F599B"/>
    <w:rsid w:val="00100D75"/>
    <w:rsid w:val="00107E35"/>
    <w:rsid w:val="00112EE7"/>
    <w:rsid w:val="00125177"/>
    <w:rsid w:val="00146574"/>
    <w:rsid w:val="0015536B"/>
    <w:rsid w:val="00160977"/>
    <w:rsid w:val="00160F42"/>
    <w:rsid w:val="00162929"/>
    <w:rsid w:val="0016438A"/>
    <w:rsid w:val="001739E3"/>
    <w:rsid w:val="001774EF"/>
    <w:rsid w:val="0018663A"/>
    <w:rsid w:val="001A5AAE"/>
    <w:rsid w:val="001A69C5"/>
    <w:rsid w:val="001B2436"/>
    <w:rsid w:val="001B5790"/>
    <w:rsid w:val="001B5A5E"/>
    <w:rsid w:val="001C0CF7"/>
    <w:rsid w:val="001C3F38"/>
    <w:rsid w:val="001D0C2E"/>
    <w:rsid w:val="001E07A4"/>
    <w:rsid w:val="001E26BE"/>
    <w:rsid w:val="00201D14"/>
    <w:rsid w:val="00203EB3"/>
    <w:rsid w:val="00210C94"/>
    <w:rsid w:val="00231AA9"/>
    <w:rsid w:val="00247D5D"/>
    <w:rsid w:val="0027184A"/>
    <w:rsid w:val="00282AB9"/>
    <w:rsid w:val="002830F6"/>
    <w:rsid w:val="0028451B"/>
    <w:rsid w:val="00294680"/>
    <w:rsid w:val="002B178F"/>
    <w:rsid w:val="002B7949"/>
    <w:rsid w:val="002C5EF7"/>
    <w:rsid w:val="002F415B"/>
    <w:rsid w:val="00307292"/>
    <w:rsid w:val="0032262B"/>
    <w:rsid w:val="00346A65"/>
    <w:rsid w:val="0034774C"/>
    <w:rsid w:val="00372CB9"/>
    <w:rsid w:val="00375D0C"/>
    <w:rsid w:val="00376C90"/>
    <w:rsid w:val="00395075"/>
    <w:rsid w:val="0039528C"/>
    <w:rsid w:val="003A6EC2"/>
    <w:rsid w:val="003C5F9B"/>
    <w:rsid w:val="003D6960"/>
    <w:rsid w:val="003F5313"/>
    <w:rsid w:val="0042392B"/>
    <w:rsid w:val="004245D5"/>
    <w:rsid w:val="004275B9"/>
    <w:rsid w:val="004324FF"/>
    <w:rsid w:val="00433701"/>
    <w:rsid w:val="004367DC"/>
    <w:rsid w:val="00445A65"/>
    <w:rsid w:val="00460DAE"/>
    <w:rsid w:val="004A57B3"/>
    <w:rsid w:val="004C12F6"/>
    <w:rsid w:val="004D5253"/>
    <w:rsid w:val="004D71F6"/>
    <w:rsid w:val="004D79F3"/>
    <w:rsid w:val="004E1B1D"/>
    <w:rsid w:val="004E416A"/>
    <w:rsid w:val="004E4E15"/>
    <w:rsid w:val="004F62A3"/>
    <w:rsid w:val="00500658"/>
    <w:rsid w:val="00514247"/>
    <w:rsid w:val="00516080"/>
    <w:rsid w:val="005246BC"/>
    <w:rsid w:val="00535BD7"/>
    <w:rsid w:val="005369B6"/>
    <w:rsid w:val="0053778A"/>
    <w:rsid w:val="005816C8"/>
    <w:rsid w:val="00587E25"/>
    <w:rsid w:val="00590E6F"/>
    <w:rsid w:val="005C65E9"/>
    <w:rsid w:val="005C65EA"/>
    <w:rsid w:val="005C748C"/>
    <w:rsid w:val="005D1056"/>
    <w:rsid w:val="005D3344"/>
    <w:rsid w:val="005D5036"/>
    <w:rsid w:val="005D6171"/>
    <w:rsid w:val="005D6BB7"/>
    <w:rsid w:val="005F3365"/>
    <w:rsid w:val="00605682"/>
    <w:rsid w:val="00610C27"/>
    <w:rsid w:val="0061280A"/>
    <w:rsid w:val="006508B9"/>
    <w:rsid w:val="006514C3"/>
    <w:rsid w:val="006539D9"/>
    <w:rsid w:val="0065520A"/>
    <w:rsid w:val="00661A6A"/>
    <w:rsid w:val="00665F2F"/>
    <w:rsid w:val="00674B04"/>
    <w:rsid w:val="00695C49"/>
    <w:rsid w:val="006A1216"/>
    <w:rsid w:val="006A275C"/>
    <w:rsid w:val="006B2E97"/>
    <w:rsid w:val="006C0732"/>
    <w:rsid w:val="006D388A"/>
    <w:rsid w:val="006D41AB"/>
    <w:rsid w:val="006E1DF2"/>
    <w:rsid w:val="006E6556"/>
    <w:rsid w:val="006F453F"/>
    <w:rsid w:val="00710111"/>
    <w:rsid w:val="00710FB6"/>
    <w:rsid w:val="0071352A"/>
    <w:rsid w:val="00714290"/>
    <w:rsid w:val="007228FB"/>
    <w:rsid w:val="007376BA"/>
    <w:rsid w:val="00766CC5"/>
    <w:rsid w:val="0077721F"/>
    <w:rsid w:val="007777FA"/>
    <w:rsid w:val="007855E9"/>
    <w:rsid w:val="007862C1"/>
    <w:rsid w:val="00790283"/>
    <w:rsid w:val="00790807"/>
    <w:rsid w:val="00796150"/>
    <w:rsid w:val="00796BB6"/>
    <w:rsid w:val="008218F1"/>
    <w:rsid w:val="00835BB8"/>
    <w:rsid w:val="008411DF"/>
    <w:rsid w:val="0084394F"/>
    <w:rsid w:val="008761CF"/>
    <w:rsid w:val="00876612"/>
    <w:rsid w:val="00892053"/>
    <w:rsid w:val="008962D1"/>
    <w:rsid w:val="008967B7"/>
    <w:rsid w:val="008A5EB8"/>
    <w:rsid w:val="008C77B3"/>
    <w:rsid w:val="008D12AF"/>
    <w:rsid w:val="008D53DB"/>
    <w:rsid w:val="008E2DA9"/>
    <w:rsid w:val="008F29C9"/>
    <w:rsid w:val="008F57C3"/>
    <w:rsid w:val="00917A76"/>
    <w:rsid w:val="00940CAA"/>
    <w:rsid w:val="00950587"/>
    <w:rsid w:val="0095371D"/>
    <w:rsid w:val="0097149E"/>
    <w:rsid w:val="00983CEF"/>
    <w:rsid w:val="00986A1C"/>
    <w:rsid w:val="009D12A3"/>
    <w:rsid w:val="009D25BA"/>
    <w:rsid w:val="009D7B3A"/>
    <w:rsid w:val="009E2DA6"/>
    <w:rsid w:val="009F2A4A"/>
    <w:rsid w:val="009F60A8"/>
    <w:rsid w:val="00A02788"/>
    <w:rsid w:val="00A06DFD"/>
    <w:rsid w:val="00A07D8F"/>
    <w:rsid w:val="00A10398"/>
    <w:rsid w:val="00A12509"/>
    <w:rsid w:val="00A17F75"/>
    <w:rsid w:val="00A21552"/>
    <w:rsid w:val="00A236A1"/>
    <w:rsid w:val="00A34762"/>
    <w:rsid w:val="00A35309"/>
    <w:rsid w:val="00A36405"/>
    <w:rsid w:val="00A406D7"/>
    <w:rsid w:val="00A46E34"/>
    <w:rsid w:val="00A629B2"/>
    <w:rsid w:val="00A649A2"/>
    <w:rsid w:val="00A671B3"/>
    <w:rsid w:val="00A7017D"/>
    <w:rsid w:val="00A71C17"/>
    <w:rsid w:val="00A72B51"/>
    <w:rsid w:val="00A745DD"/>
    <w:rsid w:val="00A81727"/>
    <w:rsid w:val="00A823D9"/>
    <w:rsid w:val="00A8495E"/>
    <w:rsid w:val="00A86BCA"/>
    <w:rsid w:val="00A9474B"/>
    <w:rsid w:val="00AA26DC"/>
    <w:rsid w:val="00AA457F"/>
    <w:rsid w:val="00AA5C6F"/>
    <w:rsid w:val="00AA7DA7"/>
    <w:rsid w:val="00AB32DD"/>
    <w:rsid w:val="00AE633D"/>
    <w:rsid w:val="00AE70E4"/>
    <w:rsid w:val="00AF6CDE"/>
    <w:rsid w:val="00B0607F"/>
    <w:rsid w:val="00B12201"/>
    <w:rsid w:val="00B15AAA"/>
    <w:rsid w:val="00B15C85"/>
    <w:rsid w:val="00B16FE9"/>
    <w:rsid w:val="00B234A9"/>
    <w:rsid w:val="00B24039"/>
    <w:rsid w:val="00B45CA8"/>
    <w:rsid w:val="00B56182"/>
    <w:rsid w:val="00B63794"/>
    <w:rsid w:val="00B66652"/>
    <w:rsid w:val="00B743AD"/>
    <w:rsid w:val="00B77A13"/>
    <w:rsid w:val="00B94333"/>
    <w:rsid w:val="00BA1D94"/>
    <w:rsid w:val="00BA470A"/>
    <w:rsid w:val="00BA7B94"/>
    <w:rsid w:val="00BE65D4"/>
    <w:rsid w:val="00BE6AEF"/>
    <w:rsid w:val="00BF409D"/>
    <w:rsid w:val="00C11D58"/>
    <w:rsid w:val="00C14ED5"/>
    <w:rsid w:val="00C24243"/>
    <w:rsid w:val="00C5298A"/>
    <w:rsid w:val="00C561CC"/>
    <w:rsid w:val="00C679F1"/>
    <w:rsid w:val="00C90466"/>
    <w:rsid w:val="00C97AD0"/>
    <w:rsid w:val="00CA49D7"/>
    <w:rsid w:val="00CC438D"/>
    <w:rsid w:val="00CD0621"/>
    <w:rsid w:val="00CF386D"/>
    <w:rsid w:val="00CF5309"/>
    <w:rsid w:val="00D03F83"/>
    <w:rsid w:val="00D15673"/>
    <w:rsid w:val="00D20677"/>
    <w:rsid w:val="00D27E94"/>
    <w:rsid w:val="00D30F42"/>
    <w:rsid w:val="00D33478"/>
    <w:rsid w:val="00D60F64"/>
    <w:rsid w:val="00D61997"/>
    <w:rsid w:val="00D61F59"/>
    <w:rsid w:val="00D85FFF"/>
    <w:rsid w:val="00DB539C"/>
    <w:rsid w:val="00DD1036"/>
    <w:rsid w:val="00DD48EF"/>
    <w:rsid w:val="00DE4E96"/>
    <w:rsid w:val="00DF73C2"/>
    <w:rsid w:val="00E16914"/>
    <w:rsid w:val="00E31D1A"/>
    <w:rsid w:val="00E33331"/>
    <w:rsid w:val="00E532DA"/>
    <w:rsid w:val="00E53585"/>
    <w:rsid w:val="00E61553"/>
    <w:rsid w:val="00E726A5"/>
    <w:rsid w:val="00E729DE"/>
    <w:rsid w:val="00E80947"/>
    <w:rsid w:val="00E812D1"/>
    <w:rsid w:val="00EA6A00"/>
    <w:rsid w:val="00EB4357"/>
    <w:rsid w:val="00EC0658"/>
    <w:rsid w:val="00EC0BFD"/>
    <w:rsid w:val="00EC1ACC"/>
    <w:rsid w:val="00EC3E4D"/>
    <w:rsid w:val="00EC7906"/>
    <w:rsid w:val="00ED1A04"/>
    <w:rsid w:val="00EE755D"/>
    <w:rsid w:val="00F0276A"/>
    <w:rsid w:val="00F0303F"/>
    <w:rsid w:val="00F06B5B"/>
    <w:rsid w:val="00F10AD3"/>
    <w:rsid w:val="00F137BB"/>
    <w:rsid w:val="00F21815"/>
    <w:rsid w:val="00F21E77"/>
    <w:rsid w:val="00F23F64"/>
    <w:rsid w:val="00F419B3"/>
    <w:rsid w:val="00F44847"/>
    <w:rsid w:val="00F539B8"/>
    <w:rsid w:val="00F55964"/>
    <w:rsid w:val="00F675BC"/>
    <w:rsid w:val="00F702A2"/>
    <w:rsid w:val="00F81998"/>
    <w:rsid w:val="00F94EE1"/>
    <w:rsid w:val="00F96163"/>
    <w:rsid w:val="00F97C8A"/>
    <w:rsid w:val="00FA2841"/>
    <w:rsid w:val="00FB7A08"/>
    <w:rsid w:val="00FE296D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BA1D9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BA1D94"/>
    <w:rPr>
      <w:rFonts w:ascii="Times New Roman" w:eastAsia="Times New Roman" w:hAnsi="Times New Roman" w:cs="Times New Roman"/>
      <w:szCs w:val="24"/>
    </w:rPr>
  </w:style>
  <w:style w:type="paragraph" w:styleId="Paragrafoelenco">
    <w:name w:val="List Paragraph"/>
    <w:basedOn w:val="Normale"/>
    <w:uiPriority w:val="34"/>
    <w:qFormat/>
    <w:rsid w:val="004E1B1D"/>
    <w:pPr>
      <w:ind w:left="720"/>
      <w:contextualSpacing/>
    </w:pPr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1B1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90E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8199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81998"/>
    <w:rPr>
      <w:b/>
      <w:bCs/>
    </w:rPr>
  </w:style>
  <w:style w:type="paragraph" w:customStyle="1" w:styleId="Normale1">
    <w:name w:val="Normale1"/>
    <w:rsid w:val="00B45CA8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BA1D9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BA1D94"/>
    <w:rPr>
      <w:rFonts w:ascii="Times New Roman" w:eastAsia="Times New Roman" w:hAnsi="Times New Roman" w:cs="Times New Roman"/>
      <w:szCs w:val="24"/>
    </w:rPr>
  </w:style>
  <w:style w:type="paragraph" w:styleId="Paragrafoelenco">
    <w:name w:val="List Paragraph"/>
    <w:basedOn w:val="Normale"/>
    <w:uiPriority w:val="34"/>
    <w:qFormat/>
    <w:rsid w:val="004E1B1D"/>
    <w:pPr>
      <w:ind w:left="720"/>
      <w:contextualSpacing/>
    </w:pPr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1B1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90E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8199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81998"/>
    <w:rPr>
      <w:b/>
      <w:bCs/>
    </w:rPr>
  </w:style>
  <w:style w:type="paragraph" w:customStyle="1" w:styleId="Normale1">
    <w:name w:val="Normale1"/>
    <w:rsid w:val="00B45CA8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D298-0D00-4C98-B094-6427B754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701654</cp:lastModifiedBy>
  <cp:revision>2</cp:revision>
  <cp:lastPrinted>2019-04-09T09:43:00Z</cp:lastPrinted>
  <dcterms:created xsi:type="dcterms:W3CDTF">2020-03-04T15:23:00Z</dcterms:created>
  <dcterms:modified xsi:type="dcterms:W3CDTF">2020-03-04T15:23:00Z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