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567"/>
        <w:gridCol w:w="4111"/>
        <w:gridCol w:w="567"/>
        <w:gridCol w:w="1701"/>
        <w:gridCol w:w="567"/>
        <w:gridCol w:w="567"/>
        <w:gridCol w:w="284"/>
        <w:gridCol w:w="1876"/>
        <w:gridCol w:w="250"/>
      </w:tblGrid>
      <w:tr w:rsidR="002C54CC" w:rsidTr="00B226B0">
        <w:tc>
          <w:tcPr>
            <w:tcW w:w="10560" w:type="dxa"/>
            <w:gridSpan w:val="10"/>
            <w:tcBorders>
              <w:bottom w:val="single" w:sz="4" w:space="0" w:color="auto"/>
            </w:tcBorders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164529">
              <w:rPr>
                <w:i/>
              </w:rPr>
              <w:t>8</w:t>
            </w:r>
            <w:r w:rsidR="00C96F94">
              <w:rPr>
                <w:i/>
              </w:rPr>
              <w:t>-1</w:t>
            </w:r>
            <w:r w:rsidR="00164529">
              <w:rPr>
                <w:i/>
              </w:rPr>
              <w:t>9</w:t>
            </w:r>
            <w:r>
              <w:rPr>
                <w:i/>
              </w:rPr>
              <w:t xml:space="preserve"> - FINALE 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2C54CC" w:rsidRPr="006B2E12" w:rsidRDefault="002C54CC" w:rsidP="00721FE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2C54CC" w:rsidTr="00B226B0"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54CC" w:rsidRDefault="002C54CC" w:rsidP="00721FED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XSpec="center" w:tblpY="-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6051F1" w:rsidRPr="00E62D11" w:rsidTr="006051F1"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6051F1" w:rsidRPr="00E62D11" w:rsidRDefault="006051F1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2C54CC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10"/>
          </w:tcPr>
          <w:p w:rsidR="002C54CC" w:rsidRPr="00126B08" w:rsidRDefault="002C54CC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 w:rsidR="006C5405">
              <w:rPr>
                <w:b/>
                <w:sz w:val="28"/>
                <w:szCs w:val="28"/>
              </w:rPr>
              <w:t>BASE</w:t>
            </w:r>
          </w:p>
          <w:p w:rsidR="002C54CC" w:rsidRPr="00126B08" w:rsidRDefault="002C54CC" w:rsidP="00721FED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81309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10"/>
          </w:tcPr>
          <w:p w:rsidR="00581309" w:rsidRDefault="00581309" w:rsidP="0058130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aggiungendo 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eventualmente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un commento.</w:t>
            </w:r>
          </w:p>
          <w:p w:rsidR="00581309" w:rsidRPr="00126B08" w:rsidRDefault="00581309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955D27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6"/>
          </w:tcPr>
          <w:p w:rsidR="00955D27" w:rsidRPr="008B5D9E" w:rsidRDefault="00955D27" w:rsidP="005C6FA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8B5D9E">
              <w:rPr>
                <w:rFonts w:ascii="Arial" w:hAnsi="Arial" w:cs="Arial"/>
                <w:b/>
              </w:rPr>
              <w:t xml:space="preserve">.   </w:t>
            </w:r>
            <w:r>
              <w:rPr>
                <w:rFonts w:ascii="Arial" w:hAnsi="Arial" w:cs="Arial"/>
                <w:b/>
              </w:rPr>
              <w:t>Il medico che ingabbiò una donna in un capello</w:t>
            </w:r>
          </w:p>
          <w:p w:rsidR="00955D27" w:rsidRPr="008B5D9E" w:rsidRDefault="00955D27" w:rsidP="005C6FA8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gridSpan w:val="3"/>
            <w:vMerge w:val="restart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440180" cy="2186940"/>
                  <wp:effectExtent l="19050" t="0" r="7620" b="0"/>
                  <wp:docPr id="7" name="Immagine 1" descr="capel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el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2186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D27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6"/>
          </w:tcPr>
          <w:p w:rsidR="00955D27" w:rsidRPr="009C1FD1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Fritz Kahn (1988-1968) è un medico tedesco che ha pubblicato libri di divulgazione scientifica ed è noto per le sue illustrazioni che sono state pioniere dell'infografica.   Ebreo, scampato all'olocausto (anche con l'aiuto di Albert Einstein) e celebrato in vita, ma dimenticato dopo la morte.</w:t>
            </w:r>
          </w:p>
          <w:p w:rsidR="00955D27" w:rsidRPr="009C1FD1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Tra le sue intuizioni più preziose quella di volgere in aneddoti e paradossi i più minuti fenomeni della biologia umana.   </w:t>
            </w:r>
          </w:p>
          <w:p w:rsidR="00DC5753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Uno di questi riguarda la crescita quotidiana dei capelli illustrata (immagine a lato) da una donna avvolta in un lungo filo.   In effetti il corpo produce 30 m di sostanza capillare al giorno. </w:t>
            </w:r>
          </w:p>
          <w:p w:rsidR="00955D27" w:rsidRPr="00DC5753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55D27" w:rsidRDefault="00955D27" w:rsidP="00DC5753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05567">
              <w:rPr>
                <w:rFonts w:ascii="Arial" w:hAnsi="Arial" w:cs="Arial"/>
                <w:b/>
                <w:sz w:val="20"/>
                <w:szCs w:val="20"/>
              </w:rPr>
              <w:t xml:space="preserve">Il dott. Khan afferma che se convergesse in un unico capello questo crescerebbe alla velocità di ...................... centimetri/minuto.   </w:t>
            </w:r>
          </w:p>
          <w:p w:rsidR="00DC5753" w:rsidRPr="00DC5753" w:rsidRDefault="00DC5753" w:rsidP="005C6FA8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55D27" w:rsidRPr="009C1FD1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955D27" w:rsidRPr="00095D4E" w:rsidRDefault="00955D27" w:rsidP="005C6FA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C1FD1">
              <w:rPr>
                <w:rFonts w:ascii="Arial" w:hAnsi="Arial" w:cs="Arial"/>
                <w:sz w:val="18"/>
                <w:szCs w:val="18"/>
              </w:rPr>
              <w:t>Fonte: Il Venerdì, 21 luglio 2017</w:t>
            </w:r>
          </w:p>
        </w:tc>
        <w:tc>
          <w:tcPr>
            <w:tcW w:w="2410" w:type="dxa"/>
            <w:gridSpan w:val="3"/>
            <w:vMerge/>
            <w:vAlign w:val="bottom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55D27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</w:trPr>
        <w:tc>
          <w:tcPr>
            <w:tcW w:w="8080" w:type="dxa"/>
            <w:gridSpan w:val="6"/>
          </w:tcPr>
          <w:p w:rsidR="00955D27" w:rsidRPr="00582540" w:rsidRDefault="00955D27" w:rsidP="005C6FA8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55D27" w:rsidRPr="008B5D9E" w:rsidRDefault="00955D27" w:rsidP="005C6FA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B5D9E">
              <w:rPr>
                <w:rFonts w:ascii="Arial" w:hAnsi="Arial" w:cs="Arial"/>
                <w:b/>
                <w:sz w:val="20"/>
                <w:szCs w:val="20"/>
              </w:rPr>
              <w:t>Completare 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 spazio dei puntini </w:t>
            </w:r>
          </w:p>
        </w:tc>
        <w:tc>
          <w:tcPr>
            <w:tcW w:w="2410" w:type="dxa"/>
            <w:gridSpan w:val="3"/>
            <w:vMerge/>
            <w:vAlign w:val="bottom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55D27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0" w:type="dxa"/>
          <w:trHeight w:val="1932"/>
        </w:trPr>
        <w:tc>
          <w:tcPr>
            <w:tcW w:w="8080" w:type="dxa"/>
            <w:gridSpan w:val="6"/>
          </w:tcPr>
          <w:p w:rsidR="00955D27" w:rsidRPr="00816EFE" w:rsidRDefault="00955D27" w:rsidP="005C6FA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3"/>
            <w:vMerge/>
            <w:vAlign w:val="bottom"/>
          </w:tcPr>
          <w:p w:rsidR="00955D27" w:rsidRDefault="00955D27" w:rsidP="005C6FA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B2B39" w:rsidRPr="009D7B3A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83" w:type="dxa"/>
            <w:gridSpan w:val="6"/>
            <w:tcBorders>
              <w:top w:val="single" w:sz="24" w:space="0" w:color="BFBFBF" w:themeColor="background1" w:themeShade="BF"/>
            </w:tcBorders>
          </w:tcPr>
          <w:p w:rsidR="009B2B39" w:rsidRPr="009D7B3A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  <w:tc>
          <w:tcPr>
            <w:tcW w:w="2977" w:type="dxa"/>
            <w:gridSpan w:val="4"/>
            <w:tcBorders>
              <w:top w:val="single" w:sz="24" w:space="0" w:color="BFBFBF" w:themeColor="background1" w:themeShade="BF"/>
            </w:tcBorders>
            <w:vAlign w:val="bottom"/>
          </w:tcPr>
          <w:p w:rsidR="009B2B39" w:rsidRPr="009D7B3A" w:rsidRDefault="009B2B39" w:rsidP="001762C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</w:tr>
      <w:tr w:rsidR="00A11D22" w:rsidTr="00B226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1034"/>
        </w:trPr>
        <w:tc>
          <w:tcPr>
            <w:tcW w:w="8364" w:type="dxa"/>
            <w:gridSpan w:val="7"/>
          </w:tcPr>
          <w:p w:rsidR="00A11D22" w:rsidRDefault="00A11D22" w:rsidP="00C556E6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  <w:t>2. Il ricco regno delle due Sicilie</w:t>
            </w:r>
          </w:p>
          <w:p w:rsidR="00A11D22" w:rsidRPr="00744061" w:rsidRDefault="00A11D22" w:rsidP="00C556E6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12"/>
                <w:szCs w:val="12"/>
              </w:rPr>
            </w:pPr>
          </w:p>
          <w:p w:rsidR="00A11D22" w:rsidRDefault="00A11D22" w:rsidP="005415FD">
            <w:pPr>
              <w:pStyle w:val="Normale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FB17F1">
              <w:rPr>
                <w:rFonts w:ascii="Arial" w:eastAsia="Arial" w:hAnsi="Arial" w:cs="Arial"/>
                <w:sz w:val="18"/>
                <w:szCs w:val="18"/>
              </w:rPr>
              <w:t>Alla luce dell’unità d’Italia nel 1861 il Regno delle Due Sicilie aveva un debito pubblico trai i più bassi d’Europa circa 411.575.000 Lire (quello d</w:t>
            </w:r>
            <w:r w:rsidR="008C0233">
              <w:rPr>
                <w:rFonts w:ascii="Arial" w:eastAsia="Arial" w:hAnsi="Arial" w:cs="Arial"/>
                <w:sz w:val="18"/>
                <w:szCs w:val="18"/>
              </w:rPr>
              <w:t>i Sardegna/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Piemonte raggiungeva l’astronomica cifra di 2.000.000.000 di Lire).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Inoltre non emetteva carta moneta</w:t>
            </w:r>
            <w:r w:rsidR="008C0233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 xml:space="preserve"> ma coniava monete d’oro e argento portatrici del loro valore. </w:t>
            </w:r>
          </w:p>
          <w:p w:rsidR="00A11D22" w:rsidRDefault="00A11D22" w:rsidP="005415FD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Fonte: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Francesco Saverio Nitti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 w:rsidRPr="00FB17F1">
              <w:rPr>
                <w:rFonts w:ascii="Arial" w:eastAsia="Arial" w:hAnsi="Arial" w:cs="Arial"/>
                <w:sz w:val="18"/>
                <w:szCs w:val="18"/>
              </w:rPr>
              <w:t>Istituto di ricerca storica delle Due Sicilie</w:t>
            </w:r>
          </w:p>
          <w:p w:rsidR="00A11D22" w:rsidRDefault="00A11D22" w:rsidP="00FE0E61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Liberamente ispirato </w:t>
            </w:r>
            <w:r w:rsidR="008C0233">
              <w:rPr>
                <w:rFonts w:ascii="Arial" w:eastAsia="Arial" w:hAnsi="Arial" w:cs="Arial"/>
                <w:sz w:val="18"/>
                <w:szCs w:val="18"/>
              </w:rPr>
              <w:t xml:space="preserve">al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quesito proposto dal gruppo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Galaxi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LS Bertolucci, Parma per la</w:t>
            </w:r>
          </w:p>
          <w:p w:rsidR="00A11D22" w:rsidRDefault="008C0233" w:rsidP="005415FD">
            <w:pPr>
              <w:pStyle w:val="Normale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Staffetta </w:t>
            </w:r>
            <w:r w:rsidR="00A11D22">
              <w:rPr>
                <w:rFonts w:ascii="Arial" w:eastAsia="Arial" w:hAnsi="Arial" w:cs="Arial"/>
                <w:sz w:val="18"/>
                <w:szCs w:val="18"/>
              </w:rPr>
              <w:t>SCMM 2016</w:t>
            </w:r>
          </w:p>
          <w:p w:rsidR="00EE3B2B" w:rsidRPr="005D3416" w:rsidRDefault="00EE3B2B" w:rsidP="005415FD">
            <w:pPr>
              <w:pStyle w:val="Normale1"/>
              <w:rPr>
                <w:rFonts w:ascii="Arial" w:eastAsia="Arial" w:hAnsi="Arial" w:cs="Arial"/>
                <w:sz w:val="8"/>
                <w:szCs w:val="8"/>
              </w:rPr>
            </w:pP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N.B.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Popolazione dell'Italia unita 22 milioni, di cui 19,47% nel Regno </w:t>
            </w:r>
            <w:r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di 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Sardegna</w:t>
            </w:r>
            <w:r w:rsidR="008C023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>/Piemonte</w:t>
            </w:r>
            <w:r w:rsidRPr="00FC43A3">
              <w:rPr>
                <w:rFonts w:ascii="Arial" w:eastAsia="Permanent Marker" w:hAnsi="Arial" w:cs="Arial"/>
                <w:color w:val="auto"/>
                <w:sz w:val="18"/>
                <w:szCs w:val="18"/>
              </w:rPr>
              <w:t xml:space="preserve"> e 40,91% nel Regno delle Due Sicilie )</w:t>
            </w:r>
          </w:p>
          <w:p w:rsidR="00A11D22" w:rsidRPr="00A11D22" w:rsidRDefault="00A11D22" w:rsidP="000851C6">
            <w:pPr>
              <w:pStyle w:val="Normale1"/>
              <w:jc w:val="both"/>
              <w:rPr>
                <w:rFonts w:ascii="Arial" w:eastAsia="Permanent Marker" w:hAnsi="Arial" w:cs="Arial"/>
                <w:color w:val="auto"/>
                <w:sz w:val="4"/>
                <w:szCs w:val="4"/>
              </w:rPr>
            </w:pPr>
          </w:p>
        </w:tc>
        <w:tc>
          <w:tcPr>
            <w:tcW w:w="1876" w:type="dxa"/>
            <w:vMerge w:val="restart"/>
          </w:tcPr>
          <w:p w:rsidR="00A11D22" w:rsidRPr="00FB17F1" w:rsidRDefault="00A11D22" w:rsidP="00A11D22">
            <w:pPr>
              <w:pStyle w:val="Normale1"/>
              <w:jc w:val="center"/>
              <w:rPr>
                <w:rFonts w:ascii="Arial" w:eastAsia="Permanent Marker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Permanent Marker" w:hAnsi="Arial" w:cs="Arial"/>
                <w:b/>
                <w:noProof/>
                <w:color w:val="auto"/>
                <w:sz w:val="18"/>
                <w:szCs w:val="18"/>
              </w:rPr>
              <w:drawing>
                <wp:inline distT="0" distB="0" distL="0" distR="0">
                  <wp:extent cx="1028700" cy="1684020"/>
                  <wp:effectExtent l="19050" t="0" r="0" b="0"/>
                  <wp:docPr id="3" name="Immagine 1" descr="320px-Great_Royal_Coat_of_Arms_of_the_Two_Sici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20px-Great_Royal_Coat_of_Arms_of_the_Two_Sici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68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D22" w:rsidTr="00605E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170"/>
        </w:trPr>
        <w:tc>
          <w:tcPr>
            <w:tcW w:w="4678" w:type="dxa"/>
            <w:gridSpan w:val="2"/>
          </w:tcPr>
          <w:p w:rsidR="00A11D22" w:rsidRDefault="00A11D22" w:rsidP="00EE3B2B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Permanent Marker" w:hAnsi="Arial" w:cs="Arial"/>
                <w:b/>
                <w:color w:val="auto"/>
              </w:rPr>
              <w:t>2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>.</w:t>
            </w:r>
            <w:r>
              <w:rPr>
                <w:rFonts w:ascii="Arial" w:eastAsia="Permanent Marker" w:hAnsi="Arial" w:cs="Arial"/>
                <w:b/>
                <w:color w:val="auto"/>
              </w:rPr>
              <w:t xml:space="preserve">1  Determinare il debito pubblico pro-capite </w:t>
            </w:r>
            <w:r w:rsidR="00605E34">
              <w:rPr>
                <w:rFonts w:ascii="Arial" w:eastAsia="Permanent Marker" w:hAnsi="Arial" w:cs="Arial"/>
                <w:b/>
                <w:color w:val="auto"/>
              </w:rPr>
              <w:t xml:space="preserve">  </w:t>
            </w:r>
            <w:r w:rsidR="00605E34">
              <w:rPr>
                <w:rFonts w:ascii="Arial" w:eastAsia="Permanent Marker" w:hAnsi="Arial" w:cs="Arial"/>
                <w:b/>
                <w:color w:val="auto"/>
              </w:rPr>
              <w:br/>
              <w:t xml:space="preserve">       </w:t>
            </w:r>
            <w:r>
              <w:rPr>
                <w:rFonts w:ascii="Arial" w:eastAsia="Permanent Marker" w:hAnsi="Arial" w:cs="Arial"/>
                <w:b/>
                <w:color w:val="auto"/>
              </w:rPr>
              <w:t xml:space="preserve">dei Due Regni, prima e dopo l'unità.  </w:t>
            </w:r>
          </w:p>
        </w:tc>
        <w:tc>
          <w:tcPr>
            <w:tcW w:w="3686" w:type="dxa"/>
            <w:gridSpan w:val="5"/>
          </w:tcPr>
          <w:tbl>
            <w:tblPr>
              <w:tblStyle w:val="Grigliatabella"/>
              <w:tblpPr w:leftFromText="141" w:rightFromText="141" w:vertAnchor="text" w:horzAnchor="margin" w:tblpY="-173"/>
              <w:tblOverlap w:val="never"/>
              <w:tblW w:w="3262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1084"/>
              <w:gridCol w:w="1094"/>
            </w:tblGrid>
            <w:tr w:rsidR="00605E34" w:rsidRPr="0096169C" w:rsidTr="00EE3B2B">
              <w:tc>
                <w:tcPr>
                  <w:tcW w:w="2168" w:type="dxa"/>
                  <w:gridSpan w:val="2"/>
                </w:tcPr>
                <w:p w:rsidR="00605E34" w:rsidRPr="0096169C" w:rsidRDefault="00605E34" w:rsidP="00605E3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6169C">
                    <w:rPr>
                      <w:rFonts w:ascii="Arial" w:hAnsi="Arial" w:cs="Arial"/>
                      <w:b/>
                      <w:sz w:val="20"/>
                      <w:szCs w:val="20"/>
                    </w:rPr>
                    <w:t>prima</w:t>
                  </w:r>
                </w:p>
              </w:tc>
              <w:tc>
                <w:tcPr>
                  <w:tcW w:w="1094" w:type="dxa"/>
                </w:tcPr>
                <w:p w:rsidR="00605E34" w:rsidRPr="0096169C" w:rsidRDefault="00605E34" w:rsidP="00605E34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96169C">
                    <w:rPr>
                      <w:rFonts w:ascii="Arial" w:hAnsi="Arial" w:cs="Arial"/>
                      <w:b/>
                      <w:sz w:val="20"/>
                      <w:szCs w:val="20"/>
                    </w:rPr>
                    <w:t>dopo</w:t>
                  </w:r>
                </w:p>
              </w:tc>
            </w:tr>
            <w:tr w:rsidR="00605E34" w:rsidRPr="0096169C" w:rsidTr="00EE3B2B">
              <w:tc>
                <w:tcPr>
                  <w:tcW w:w="1084" w:type="dxa"/>
                </w:tcPr>
                <w:p w:rsidR="00605E34" w:rsidRPr="0096169C" w:rsidRDefault="00605E34" w:rsidP="00605E3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84" w:type="dxa"/>
                </w:tcPr>
                <w:p w:rsidR="00605E34" w:rsidRPr="0096169C" w:rsidRDefault="00605E34" w:rsidP="00605E3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4" w:type="dxa"/>
                </w:tcPr>
                <w:p w:rsidR="00605E34" w:rsidRPr="0096169C" w:rsidRDefault="00605E34" w:rsidP="00605E3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11D22" w:rsidRPr="00EE3B2B" w:rsidRDefault="00A11D22" w:rsidP="00C556E6">
            <w:pPr>
              <w:pStyle w:val="Normale1"/>
              <w:rPr>
                <w:rFonts w:ascii="Arial" w:eastAsia="Permanent Marker" w:hAnsi="Arial" w:cs="Arial"/>
                <w:b/>
                <w:color w:val="auto"/>
                <w:sz w:val="2"/>
                <w:szCs w:val="2"/>
              </w:rPr>
            </w:pPr>
          </w:p>
        </w:tc>
        <w:tc>
          <w:tcPr>
            <w:tcW w:w="1876" w:type="dxa"/>
            <w:vMerge/>
            <w:vAlign w:val="center"/>
          </w:tcPr>
          <w:p w:rsidR="00A11D22" w:rsidRDefault="00A11D22" w:rsidP="00C556E6">
            <w:pPr>
              <w:pStyle w:val="Normale1"/>
              <w:jc w:val="both"/>
              <w:rPr>
                <w:rFonts w:ascii="Arial" w:eastAsia="Permanent Marker" w:hAnsi="Arial" w:cs="Arial"/>
                <w:b/>
                <w:noProof/>
                <w:color w:val="auto"/>
                <w:sz w:val="18"/>
                <w:szCs w:val="18"/>
              </w:rPr>
            </w:pPr>
          </w:p>
        </w:tc>
      </w:tr>
      <w:tr w:rsidR="00A11D22" w:rsidTr="00C372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20"/>
        </w:trPr>
        <w:tc>
          <w:tcPr>
            <w:tcW w:w="6946" w:type="dxa"/>
            <w:gridSpan w:val="4"/>
            <w:vAlign w:val="center"/>
          </w:tcPr>
          <w:p w:rsidR="00787B56" w:rsidRPr="00787B56" w:rsidRDefault="00A11D22" w:rsidP="00C3726F">
            <w:pPr>
              <w:pStyle w:val="Normale1"/>
              <w:jc w:val="both"/>
              <w:rPr>
                <w:rFonts w:ascii="Arial" w:eastAsia="Arial" w:hAnsi="Arial" w:cs="Arial"/>
                <w:color w:val="FF0000"/>
                <w:sz w:val="4"/>
                <w:szCs w:val="4"/>
              </w:rPr>
            </w:pPr>
            <w:r>
              <w:rPr>
                <w:rFonts w:ascii="Arial" w:eastAsia="Permanent Marker" w:hAnsi="Arial" w:cs="Arial"/>
                <w:b/>
                <w:color w:val="auto"/>
              </w:rPr>
              <w:t xml:space="preserve">2.2  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>Valu</w:t>
            </w:r>
            <w:r>
              <w:rPr>
                <w:rFonts w:ascii="Arial" w:eastAsia="Permanent Marker" w:hAnsi="Arial" w:cs="Arial"/>
                <w:b/>
                <w:color w:val="auto"/>
              </w:rPr>
              <w:t>t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>are la rise</w:t>
            </w:r>
            <w:r>
              <w:rPr>
                <w:rFonts w:ascii="Arial" w:eastAsia="Permanent Marker" w:hAnsi="Arial" w:cs="Arial"/>
                <w:b/>
                <w:color w:val="auto"/>
              </w:rPr>
              <w:t>r</w:t>
            </w:r>
            <w:r w:rsidRPr="00E9218A">
              <w:rPr>
                <w:rFonts w:ascii="Arial" w:eastAsia="Permanent Marker" w:hAnsi="Arial" w:cs="Arial"/>
                <w:b/>
                <w:color w:val="auto"/>
              </w:rPr>
              <w:t xml:space="preserve">va </w:t>
            </w:r>
            <w:r>
              <w:rPr>
                <w:rFonts w:ascii="Arial" w:eastAsia="Permanent Marker" w:hAnsi="Arial" w:cs="Arial"/>
                <w:b/>
                <w:color w:val="auto"/>
              </w:rPr>
              <w:t>monetaria pro-capite dei Due Regni.</w:t>
            </w:r>
            <w:r w:rsidRPr="00955D27">
              <w:rPr>
                <w:rFonts w:ascii="Arial" w:eastAsia="Arial" w:hAnsi="Arial" w:cs="Arial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294" w:type="dxa"/>
            <w:gridSpan w:val="4"/>
            <w:vAlign w:val="center"/>
          </w:tcPr>
          <w:tbl>
            <w:tblPr>
              <w:tblStyle w:val="Grigliatabella"/>
              <w:tblpPr w:leftFromText="141" w:rightFromText="141" w:vertAnchor="text" w:horzAnchor="margin" w:tblpY="-281"/>
              <w:tblOverlap w:val="never"/>
              <w:tblW w:w="3085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3"/>
              <w:gridCol w:w="1542"/>
            </w:tblGrid>
            <w:tr w:rsidR="00C3726F" w:rsidRPr="0096169C" w:rsidTr="00C3726F">
              <w:tc>
                <w:tcPr>
                  <w:tcW w:w="1543" w:type="dxa"/>
                </w:tcPr>
                <w:p w:rsidR="00C3726F" w:rsidRPr="0096169C" w:rsidRDefault="00C3726F" w:rsidP="00C3726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Sard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./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Piem</w:t>
                  </w:r>
                  <w:proofErr w:type="spellEnd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42" w:type="dxa"/>
                </w:tcPr>
                <w:p w:rsidR="00C3726F" w:rsidRPr="0096169C" w:rsidRDefault="00C3726F" w:rsidP="00C3726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Due Sicilie</w:t>
                  </w:r>
                </w:p>
              </w:tc>
            </w:tr>
            <w:tr w:rsidR="00C3726F" w:rsidRPr="0096169C" w:rsidTr="00C3726F">
              <w:tc>
                <w:tcPr>
                  <w:tcW w:w="1543" w:type="dxa"/>
                </w:tcPr>
                <w:p w:rsidR="00C3726F" w:rsidRPr="0096169C" w:rsidRDefault="00C3726F" w:rsidP="00C3726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42" w:type="dxa"/>
                </w:tcPr>
                <w:p w:rsidR="00C3726F" w:rsidRPr="0096169C" w:rsidRDefault="00C3726F" w:rsidP="00C3726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11D22" w:rsidRPr="00C3726F" w:rsidRDefault="00A11D22" w:rsidP="004B7ADF">
            <w:pPr>
              <w:pStyle w:val="Normale1"/>
              <w:suppressAutoHyphens/>
              <w:jc w:val="center"/>
              <w:rPr>
                <w:rFonts w:ascii="Arial" w:eastAsia="Arial" w:hAnsi="Arial" w:cs="Arial"/>
                <w:sz w:val="2"/>
                <w:szCs w:val="2"/>
              </w:rPr>
            </w:pPr>
          </w:p>
        </w:tc>
      </w:tr>
      <w:tr w:rsidR="00E840C5" w:rsidTr="00C372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70" w:type="dxa"/>
          <w:wAfter w:w="250" w:type="dxa"/>
          <w:trHeight w:val="220"/>
        </w:trPr>
        <w:tc>
          <w:tcPr>
            <w:tcW w:w="6946" w:type="dxa"/>
            <w:gridSpan w:val="4"/>
            <w:vAlign w:val="center"/>
          </w:tcPr>
          <w:p w:rsidR="00E840C5" w:rsidRPr="00955D27" w:rsidRDefault="00E840C5" w:rsidP="00955D27">
            <w:pPr>
              <w:pStyle w:val="Normale1"/>
              <w:jc w:val="both"/>
              <w:rPr>
                <w:rFonts w:ascii="Arial" w:eastAsia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294" w:type="dxa"/>
            <w:gridSpan w:val="4"/>
            <w:vAlign w:val="center"/>
          </w:tcPr>
          <w:tbl>
            <w:tblPr>
              <w:tblpPr w:leftFromText="141" w:rightFromText="141" w:vertAnchor="text" w:horzAnchor="margin" w:tblpXSpec="right" w:tblpY="-40"/>
              <w:tblW w:w="25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8"/>
              <w:gridCol w:w="743"/>
            </w:tblGrid>
            <w:tr w:rsidR="00E840C5" w:rsidRPr="00C90817" w:rsidTr="00C556E6">
              <w:tc>
                <w:tcPr>
                  <w:tcW w:w="2551" w:type="dxa"/>
                  <w:gridSpan w:val="2"/>
                </w:tcPr>
                <w:p w:rsidR="00E840C5" w:rsidRPr="00C90817" w:rsidRDefault="00E840C5" w:rsidP="004B7ADF">
                  <w:pPr>
                    <w:pStyle w:val="Normale1"/>
                    <w:suppressAutoHyphens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Quantit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à</w:t>
                  </w: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lire-oro nel 1861 degli antichi </w:t>
                  </w:r>
                  <w:r w:rsidR="004B7ADF">
                    <w:rPr>
                      <w:rFonts w:ascii="Arial" w:eastAsia="Arial" w:hAnsi="Arial" w:cs="Arial"/>
                      <w:sz w:val="18"/>
                      <w:szCs w:val="18"/>
                    </w:rPr>
                    <w:t>S</w:t>
                  </w: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tati italiani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hAnsi="Arial" w:cs="Arial"/>
                      <w:sz w:val="18"/>
                      <w:szCs w:val="18"/>
                    </w:rPr>
                    <w:t>milioni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Regno Due Sicilie  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443,2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Lombardia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pStyle w:val="Normale1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 8,1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Ducato di Modena  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</w:t>
                  </w: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0,4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Parma e Piacenza  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  1,2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Roma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35,3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Romagna-Marche   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55,3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Sardegna/Piemonte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27,0</w:t>
                  </w:r>
                </w:p>
              </w:tc>
            </w:tr>
            <w:tr w:rsidR="00E840C5" w:rsidRPr="00C90817" w:rsidTr="00C556E6">
              <w:tc>
                <w:tcPr>
                  <w:tcW w:w="1808" w:type="dxa"/>
                </w:tcPr>
                <w:p w:rsidR="00E840C5" w:rsidRPr="00C90817" w:rsidRDefault="00E840C5" w:rsidP="00C556E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>Toscana</w:t>
                  </w:r>
                </w:p>
              </w:tc>
              <w:tc>
                <w:tcPr>
                  <w:tcW w:w="743" w:type="dxa"/>
                </w:tcPr>
                <w:p w:rsidR="00E840C5" w:rsidRPr="00C90817" w:rsidRDefault="00E840C5" w:rsidP="00C556E6">
                  <w:pPr>
                    <w:spacing w:after="0" w:line="240" w:lineRule="auto"/>
                    <w:jc w:val="righ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 w:rsidRPr="00C90817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 12,7</w:t>
                  </w:r>
                </w:p>
              </w:tc>
            </w:tr>
          </w:tbl>
          <w:p w:rsidR="00E840C5" w:rsidRPr="00C90817" w:rsidRDefault="00E840C5" w:rsidP="00C556E6">
            <w:pPr>
              <w:pStyle w:val="Normale1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</w:tbl>
    <w:p w:rsidR="006D7F7C" w:rsidRDefault="006D7F7C" w:rsidP="00164529">
      <w:pPr>
        <w:rPr>
          <w:b/>
          <w:sz w:val="28"/>
          <w:szCs w:val="28"/>
          <w:highlight w:val="yellow"/>
        </w:rPr>
      </w:pPr>
    </w:p>
    <w:p w:rsidR="008C0233" w:rsidRDefault="008C0233" w:rsidP="00210D58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8C0233" w:rsidRDefault="008C0233" w:rsidP="00210D58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8C0233" w:rsidRDefault="008C0233" w:rsidP="00210D58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8C0233" w:rsidRDefault="008C0233" w:rsidP="00210D58">
      <w:pPr>
        <w:spacing w:after="0" w:line="240" w:lineRule="auto"/>
        <w:jc w:val="right"/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</w:pPr>
    </w:p>
    <w:p w:rsidR="00210D58" w:rsidRDefault="00210D58" w:rsidP="00210D58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D6BB7"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  <w:t>Usare</w:t>
      </w:r>
      <w:r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  <w:t xml:space="preserve"> anche</w:t>
      </w:r>
      <w:r w:rsidRPr="005D6BB7"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  <w:t xml:space="preserve"> lo spazio </w:t>
      </w:r>
      <w:r>
        <w:rPr>
          <w:rFonts w:ascii="Arial" w:hAnsi="Arial" w:cs="Arial"/>
          <w:b/>
          <w:color w:val="A6A6A6" w:themeColor="background1" w:themeShade="A6"/>
          <w:sz w:val="20"/>
          <w:szCs w:val="20"/>
          <w:shd w:val="clear" w:color="auto" w:fill="FFFFFF"/>
        </w:rPr>
        <w:t>sul retro</w:t>
      </w:r>
    </w:p>
    <w:p w:rsidR="00210D58" w:rsidRDefault="00210D58" w:rsidP="00164529">
      <w:pPr>
        <w:rPr>
          <w:b/>
          <w:sz w:val="28"/>
          <w:szCs w:val="28"/>
          <w:highlight w:val="yellow"/>
        </w:rPr>
      </w:pPr>
    </w:p>
    <w:p w:rsidR="00210D58" w:rsidRDefault="00210D58" w:rsidP="00164529">
      <w:pPr>
        <w:rPr>
          <w:b/>
          <w:sz w:val="28"/>
          <w:szCs w:val="28"/>
          <w:highlight w:val="yellow"/>
        </w:rPr>
      </w:pPr>
    </w:p>
    <w:p w:rsidR="00210D58" w:rsidRDefault="00210D58" w:rsidP="00164529">
      <w:pPr>
        <w:rPr>
          <w:b/>
          <w:sz w:val="28"/>
          <w:szCs w:val="28"/>
          <w:highlight w:val="yellow"/>
        </w:rPr>
      </w:pPr>
    </w:p>
    <w:p w:rsidR="00210D58" w:rsidRDefault="00210D58" w:rsidP="00164529">
      <w:pPr>
        <w:rPr>
          <w:b/>
          <w:sz w:val="28"/>
          <w:szCs w:val="28"/>
          <w:highlight w:val="yellow"/>
        </w:rPr>
      </w:pPr>
    </w:p>
    <w:p w:rsidR="00210D58" w:rsidRDefault="00210D58" w:rsidP="00164529">
      <w:pPr>
        <w:rPr>
          <w:b/>
          <w:sz w:val="28"/>
          <w:szCs w:val="28"/>
          <w:highlight w:val="yellow"/>
        </w:rPr>
      </w:pPr>
    </w:p>
    <w:p w:rsidR="004871D0" w:rsidRDefault="004871D0" w:rsidP="00164529">
      <w:pPr>
        <w:rPr>
          <w:b/>
          <w:sz w:val="28"/>
          <w:szCs w:val="28"/>
          <w:highlight w:val="yellow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2410"/>
      </w:tblGrid>
      <w:tr w:rsidR="00582185" w:rsidTr="00582185">
        <w:trPr>
          <w:trHeight w:val="3974"/>
        </w:trPr>
        <w:tc>
          <w:tcPr>
            <w:tcW w:w="623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3. </w:t>
            </w:r>
            <w:proofErr w:type="spellStart"/>
            <w:r>
              <w:rPr>
                <w:rFonts w:ascii="Arial" w:hAnsi="Arial" w:cs="Arial"/>
                <w:b/>
                <w:color w:val="000000"/>
              </w:rPr>
              <w:t>Eurochocolate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582185" w:rsidRPr="005853E8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582185" w:rsidRPr="0082772E" w:rsidRDefault="00582185" w:rsidP="00DC575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Dal 18 al 27 ottobre 2018 si è tenuta a Perugia la 25-esima edizione di </w:t>
            </w:r>
            <w:proofErr w:type="spellStart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Eurochocolate</w:t>
            </w:r>
            <w:proofErr w:type="spellEnd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, la Festa del Cioccolato.  Grandissimo successo e notevole affluenza di ... golosi.   In quei giorni </w:t>
            </w:r>
            <w:r w:rsidR="009F152D">
              <w:rPr>
                <w:rFonts w:ascii="Arial" w:hAnsi="Arial" w:cs="Arial"/>
                <w:color w:val="000000"/>
                <w:sz w:val="20"/>
                <w:szCs w:val="20"/>
              </w:rPr>
              <w:t xml:space="preserve">tutta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la città profumava di cioccolato</w:t>
            </w:r>
            <w:r w:rsidR="009F152D">
              <w:rPr>
                <w:rFonts w:ascii="Arial" w:hAnsi="Arial" w:cs="Arial"/>
                <w:color w:val="000000"/>
                <w:sz w:val="20"/>
                <w:szCs w:val="20"/>
              </w:rPr>
              <w:t xml:space="preserve">. 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La storica Drogheria Eredi </w:t>
            </w:r>
            <w:proofErr w:type="spellStart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Bavicchi</w:t>
            </w:r>
            <w:proofErr w:type="spellEnd"/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 proponeva l'offerta che potete vedere nell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immagin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 lato</w:t>
            </w:r>
            <w:r w:rsidRPr="0082772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82185" w:rsidRPr="0082772E" w:rsidRDefault="00582185" w:rsidP="00DC575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tbl>
            <w:tblPr>
              <w:tblpPr w:leftFromText="141" w:rightFromText="141" w:vertAnchor="text" w:horzAnchor="margin" w:tblpY="715"/>
              <w:tblOverlap w:val="never"/>
              <w:tblW w:w="304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1"/>
              <w:gridCol w:w="992"/>
              <w:gridCol w:w="1134"/>
            </w:tblGrid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center"/>
                  <w:hideMark/>
                </w:tcPr>
                <w:p w:rsidR="00582185" w:rsidRPr="00672744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672744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n. tavolette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center"/>
                  <w:hideMark/>
                </w:tcPr>
                <w:p w:rsidR="00582185" w:rsidRDefault="00582185" w:rsidP="0058218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s</w:t>
                  </w:r>
                  <w:r w:rsidRPr="00672744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pesa</w:t>
                  </w:r>
                </w:p>
                <w:p w:rsidR="00582185" w:rsidRPr="00672744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€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center"/>
                  <w:hideMark/>
                </w:tcPr>
                <w:p w:rsidR="00582185" w:rsidRPr="00672744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672744"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costo medio</w:t>
                  </w: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 xml:space="preserve"> €</w:t>
                  </w: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82185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582185" w:rsidRPr="003E3E01" w:rsidRDefault="00582185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01E3A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01E3A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01E3A" w:rsidRPr="003E3E01" w:rsidTr="00582185">
              <w:trPr>
                <w:trHeight w:val="288"/>
              </w:trPr>
              <w:tc>
                <w:tcPr>
                  <w:tcW w:w="921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F01E3A" w:rsidRPr="003E3E01" w:rsidRDefault="00F01E3A" w:rsidP="0058218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582185" w:rsidRPr="009F5D30" w:rsidRDefault="00582185" w:rsidP="00672744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F5D30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9F5D3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Tenuto conto che il prezzo non scontato di ogni tavoletta è di 1,40 €, calcolare il costo medio (a pezzo)  per </w:t>
            </w:r>
            <w:r w:rsidR="0002290F" w:rsidRPr="009F5D3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acquisti </w:t>
            </w:r>
            <w:r w:rsidRPr="009F5D3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da 1 a 15 tavolette. </w:t>
            </w:r>
          </w:p>
          <w:p w:rsidR="00582185" w:rsidRPr="0022548F" w:rsidRDefault="00582185" w:rsidP="00672744">
            <w:pPr>
              <w:jc w:val="both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BC07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7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2185" w:rsidRDefault="00582185" w:rsidP="004972E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582185" w:rsidRDefault="008B4271" w:rsidP="00BC072C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8B4271">
              <w:rPr>
                <w:rFonts w:ascii="Arial" w:hAnsi="Arial" w:cs="Arial"/>
                <w:b/>
                <w:noProof/>
                <w:color w:val="000000"/>
              </w:rPr>
              <w:drawing>
                <wp:inline distT="0" distB="0" distL="0" distR="0">
                  <wp:extent cx="1125855" cy="2279650"/>
                  <wp:effectExtent l="19050" t="0" r="0" b="0"/>
                  <wp:docPr id="1" name="Immagine 0" descr="offerta eurocioccol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erta eurocioccolata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227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582185" w:rsidRDefault="00582185" w:rsidP="00BC072C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1478280" cy="2628900"/>
                  <wp:effectExtent l="19050" t="0" r="7620" b="0"/>
                  <wp:docPr id="8" name="Immagine 2" descr="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72E3" w:rsidTr="002607B2">
        <w:tc>
          <w:tcPr>
            <w:tcW w:w="1049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82185" w:rsidRDefault="00582185" w:rsidP="00582185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:rsidR="00672744" w:rsidRPr="009F5D30" w:rsidRDefault="00672744" w:rsidP="00582185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5D30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Pr="009F5D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     Riportare i valori ottenuti </w:t>
            </w:r>
            <w:r w:rsidR="009F5D30" w:rsidRPr="009F5D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</w:t>
            </w:r>
            <w:r w:rsidRPr="009F5D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un opportuno sistema di riferimento cartesiano.</w:t>
            </w:r>
          </w:p>
          <w:p w:rsidR="004972E3" w:rsidRDefault="004972E3" w:rsidP="00DC5753">
            <w:pPr>
              <w:spacing w:after="0" w:line="240" w:lineRule="auto"/>
              <w:jc w:val="both"/>
              <w:rPr>
                <w:rFonts w:ascii="Arial" w:hAnsi="Arial" w:cs="Arial"/>
                <w:b/>
                <w:noProof/>
                <w:color w:val="FF0000"/>
              </w:rPr>
            </w:pPr>
          </w:p>
        </w:tc>
      </w:tr>
    </w:tbl>
    <w:p w:rsidR="004871D0" w:rsidRDefault="004871D0" w:rsidP="00164529">
      <w:pPr>
        <w:rPr>
          <w:b/>
          <w:sz w:val="28"/>
          <w:szCs w:val="28"/>
          <w:highlight w:val="yellow"/>
        </w:rPr>
      </w:pPr>
    </w:p>
    <w:p w:rsidR="004972E3" w:rsidRDefault="004972E3" w:rsidP="00164529">
      <w:pPr>
        <w:rPr>
          <w:b/>
          <w:sz w:val="28"/>
          <w:szCs w:val="28"/>
          <w:highlight w:val="yellow"/>
        </w:rPr>
      </w:pPr>
    </w:p>
    <w:sectPr w:rsidR="004972E3" w:rsidSect="002C54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manent Mark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109DB"/>
    <w:multiLevelType w:val="multilevel"/>
    <w:tmpl w:val="7164A6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" w:hanging="4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" w:hanging="4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" w:hanging="4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" w:hanging="4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" w:hanging="43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" w:hanging="43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AE"/>
    <w:rsid w:val="000055D9"/>
    <w:rsid w:val="00006495"/>
    <w:rsid w:val="00015879"/>
    <w:rsid w:val="0002290F"/>
    <w:rsid w:val="00032A81"/>
    <w:rsid w:val="00034D47"/>
    <w:rsid w:val="0004255D"/>
    <w:rsid w:val="000470A4"/>
    <w:rsid w:val="000851C6"/>
    <w:rsid w:val="000855C5"/>
    <w:rsid w:val="000A09DE"/>
    <w:rsid w:val="000A68AE"/>
    <w:rsid w:val="000A6FB6"/>
    <w:rsid w:val="000B7954"/>
    <w:rsid w:val="000C0021"/>
    <w:rsid w:val="000C72C4"/>
    <w:rsid w:val="000F6114"/>
    <w:rsid w:val="0013341F"/>
    <w:rsid w:val="001440E3"/>
    <w:rsid w:val="00147F79"/>
    <w:rsid w:val="00164529"/>
    <w:rsid w:val="001741BE"/>
    <w:rsid w:val="001762CC"/>
    <w:rsid w:val="001A0508"/>
    <w:rsid w:val="001A6E05"/>
    <w:rsid w:val="001C4E83"/>
    <w:rsid w:val="001D21CA"/>
    <w:rsid w:val="001D5BB4"/>
    <w:rsid w:val="0020115C"/>
    <w:rsid w:val="00210D58"/>
    <w:rsid w:val="00230E19"/>
    <w:rsid w:val="00234867"/>
    <w:rsid w:val="00237FE4"/>
    <w:rsid w:val="00247D0F"/>
    <w:rsid w:val="002504E5"/>
    <w:rsid w:val="00254362"/>
    <w:rsid w:val="002640DA"/>
    <w:rsid w:val="00292E03"/>
    <w:rsid w:val="002C335C"/>
    <w:rsid w:val="002C54CC"/>
    <w:rsid w:val="002D6417"/>
    <w:rsid w:val="002E0337"/>
    <w:rsid w:val="002F317C"/>
    <w:rsid w:val="002F533C"/>
    <w:rsid w:val="003167C9"/>
    <w:rsid w:val="00317D3C"/>
    <w:rsid w:val="003257E2"/>
    <w:rsid w:val="00343DA2"/>
    <w:rsid w:val="00360384"/>
    <w:rsid w:val="00377F23"/>
    <w:rsid w:val="003B17AD"/>
    <w:rsid w:val="003C4DEF"/>
    <w:rsid w:val="003E732F"/>
    <w:rsid w:val="00446764"/>
    <w:rsid w:val="004548E9"/>
    <w:rsid w:val="004734CA"/>
    <w:rsid w:val="004810EA"/>
    <w:rsid w:val="004837B5"/>
    <w:rsid w:val="004871D0"/>
    <w:rsid w:val="00496CF2"/>
    <w:rsid w:val="004972E3"/>
    <w:rsid w:val="004B4D9E"/>
    <w:rsid w:val="004B7ADF"/>
    <w:rsid w:val="004C6DE1"/>
    <w:rsid w:val="004E29ED"/>
    <w:rsid w:val="004F6E80"/>
    <w:rsid w:val="00502B71"/>
    <w:rsid w:val="00503DFF"/>
    <w:rsid w:val="00514000"/>
    <w:rsid w:val="00534E80"/>
    <w:rsid w:val="005415FD"/>
    <w:rsid w:val="005730D1"/>
    <w:rsid w:val="00581309"/>
    <w:rsid w:val="00582185"/>
    <w:rsid w:val="00592ABC"/>
    <w:rsid w:val="005D298D"/>
    <w:rsid w:val="005F55C3"/>
    <w:rsid w:val="006051F1"/>
    <w:rsid w:val="00605E34"/>
    <w:rsid w:val="0060742D"/>
    <w:rsid w:val="006132A8"/>
    <w:rsid w:val="00633F56"/>
    <w:rsid w:val="006464DE"/>
    <w:rsid w:val="006717C2"/>
    <w:rsid w:val="00672744"/>
    <w:rsid w:val="006741CA"/>
    <w:rsid w:val="00674C2E"/>
    <w:rsid w:val="00683911"/>
    <w:rsid w:val="0068530C"/>
    <w:rsid w:val="00687E4E"/>
    <w:rsid w:val="00693EF4"/>
    <w:rsid w:val="00696F51"/>
    <w:rsid w:val="006C5405"/>
    <w:rsid w:val="006C597E"/>
    <w:rsid w:val="006D7F7C"/>
    <w:rsid w:val="006E3D68"/>
    <w:rsid w:val="006E63C3"/>
    <w:rsid w:val="006E6A1A"/>
    <w:rsid w:val="006F5A73"/>
    <w:rsid w:val="006F78EB"/>
    <w:rsid w:val="007013DB"/>
    <w:rsid w:val="007114D0"/>
    <w:rsid w:val="007218C0"/>
    <w:rsid w:val="00721FED"/>
    <w:rsid w:val="00751413"/>
    <w:rsid w:val="00785F66"/>
    <w:rsid w:val="00787B56"/>
    <w:rsid w:val="00791851"/>
    <w:rsid w:val="007B62BA"/>
    <w:rsid w:val="00813B31"/>
    <w:rsid w:val="00816420"/>
    <w:rsid w:val="00824B7C"/>
    <w:rsid w:val="00833D23"/>
    <w:rsid w:val="008450F3"/>
    <w:rsid w:val="00860ADE"/>
    <w:rsid w:val="00864D2A"/>
    <w:rsid w:val="00874604"/>
    <w:rsid w:val="008779AD"/>
    <w:rsid w:val="008B4271"/>
    <w:rsid w:val="008C0233"/>
    <w:rsid w:val="008F0AC5"/>
    <w:rsid w:val="00910AD4"/>
    <w:rsid w:val="009121A5"/>
    <w:rsid w:val="00955D27"/>
    <w:rsid w:val="009A2CDA"/>
    <w:rsid w:val="009A3DE8"/>
    <w:rsid w:val="009B2B39"/>
    <w:rsid w:val="009C0910"/>
    <w:rsid w:val="009C4152"/>
    <w:rsid w:val="009E3629"/>
    <w:rsid w:val="009F152D"/>
    <w:rsid w:val="009F2B78"/>
    <w:rsid w:val="009F5D30"/>
    <w:rsid w:val="00A01C85"/>
    <w:rsid w:val="00A106FD"/>
    <w:rsid w:val="00A11D22"/>
    <w:rsid w:val="00A20CC6"/>
    <w:rsid w:val="00A2199E"/>
    <w:rsid w:val="00A27310"/>
    <w:rsid w:val="00A342DF"/>
    <w:rsid w:val="00A52BF1"/>
    <w:rsid w:val="00A71890"/>
    <w:rsid w:val="00A733A5"/>
    <w:rsid w:val="00A81392"/>
    <w:rsid w:val="00A81E45"/>
    <w:rsid w:val="00A86DA8"/>
    <w:rsid w:val="00A91389"/>
    <w:rsid w:val="00A9627A"/>
    <w:rsid w:val="00AA37B2"/>
    <w:rsid w:val="00AA787D"/>
    <w:rsid w:val="00AB1A9C"/>
    <w:rsid w:val="00AB6FC6"/>
    <w:rsid w:val="00AC165B"/>
    <w:rsid w:val="00AD6A68"/>
    <w:rsid w:val="00AD6A8F"/>
    <w:rsid w:val="00B17E7C"/>
    <w:rsid w:val="00B226B0"/>
    <w:rsid w:val="00B30A24"/>
    <w:rsid w:val="00B36DCA"/>
    <w:rsid w:val="00B36F5A"/>
    <w:rsid w:val="00B47DDB"/>
    <w:rsid w:val="00B53F3D"/>
    <w:rsid w:val="00BA13D1"/>
    <w:rsid w:val="00BA5CA1"/>
    <w:rsid w:val="00BE349B"/>
    <w:rsid w:val="00BF5A59"/>
    <w:rsid w:val="00C01F51"/>
    <w:rsid w:val="00C03766"/>
    <w:rsid w:val="00C3068C"/>
    <w:rsid w:val="00C3726F"/>
    <w:rsid w:val="00C57A23"/>
    <w:rsid w:val="00C64E63"/>
    <w:rsid w:val="00C71F03"/>
    <w:rsid w:val="00C7485D"/>
    <w:rsid w:val="00C87835"/>
    <w:rsid w:val="00C96F94"/>
    <w:rsid w:val="00CA109C"/>
    <w:rsid w:val="00CA4CE1"/>
    <w:rsid w:val="00CB63C0"/>
    <w:rsid w:val="00CC0F5C"/>
    <w:rsid w:val="00CD3FF4"/>
    <w:rsid w:val="00CE63B5"/>
    <w:rsid w:val="00CF0683"/>
    <w:rsid w:val="00CF0D8F"/>
    <w:rsid w:val="00D102E2"/>
    <w:rsid w:val="00D23143"/>
    <w:rsid w:val="00D34D89"/>
    <w:rsid w:val="00D45393"/>
    <w:rsid w:val="00D51300"/>
    <w:rsid w:val="00D5371F"/>
    <w:rsid w:val="00D54E1E"/>
    <w:rsid w:val="00D57E40"/>
    <w:rsid w:val="00D72273"/>
    <w:rsid w:val="00D84D5B"/>
    <w:rsid w:val="00D96650"/>
    <w:rsid w:val="00DA3779"/>
    <w:rsid w:val="00DB0AE6"/>
    <w:rsid w:val="00DB11C4"/>
    <w:rsid w:val="00DB2BC9"/>
    <w:rsid w:val="00DC5753"/>
    <w:rsid w:val="00DE6795"/>
    <w:rsid w:val="00DF158F"/>
    <w:rsid w:val="00E0245B"/>
    <w:rsid w:val="00E066E3"/>
    <w:rsid w:val="00E25242"/>
    <w:rsid w:val="00E269BC"/>
    <w:rsid w:val="00E45826"/>
    <w:rsid w:val="00E56529"/>
    <w:rsid w:val="00E604BB"/>
    <w:rsid w:val="00E63DBB"/>
    <w:rsid w:val="00E8261E"/>
    <w:rsid w:val="00E840C5"/>
    <w:rsid w:val="00EA3465"/>
    <w:rsid w:val="00EB3C80"/>
    <w:rsid w:val="00EC2AC5"/>
    <w:rsid w:val="00EC6E8A"/>
    <w:rsid w:val="00ED0F82"/>
    <w:rsid w:val="00EE3B2B"/>
    <w:rsid w:val="00EF7A83"/>
    <w:rsid w:val="00F01E3A"/>
    <w:rsid w:val="00F147FA"/>
    <w:rsid w:val="00F154DF"/>
    <w:rsid w:val="00F26E42"/>
    <w:rsid w:val="00F34487"/>
    <w:rsid w:val="00F362D2"/>
    <w:rsid w:val="00F4270B"/>
    <w:rsid w:val="00F83A9F"/>
    <w:rsid w:val="00F85E75"/>
    <w:rsid w:val="00F92321"/>
    <w:rsid w:val="00F94EDB"/>
    <w:rsid w:val="00FC1015"/>
    <w:rsid w:val="00FE0E61"/>
    <w:rsid w:val="00FE79AB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  <w:style w:type="paragraph" w:customStyle="1" w:styleId="Normale1">
    <w:name w:val="Normale1"/>
    <w:rsid w:val="00E840C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  <w:style w:type="paragraph" w:customStyle="1" w:styleId="Normale1">
    <w:name w:val="Normale1"/>
    <w:rsid w:val="00E840C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76E6-910A-4F7A-8041-8C2DB1E6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2019-04-09T11:04:00Z</cp:lastPrinted>
  <dcterms:created xsi:type="dcterms:W3CDTF">2020-03-04T15:53:00Z</dcterms:created>
  <dcterms:modified xsi:type="dcterms:W3CDTF">2020-03-04T15:53:00Z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