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object w:dxaOrig="10326" w:dyaOrig="2369">
          <v:rect xmlns:o="urn:schemas-microsoft-com:office:office" xmlns:v="urn:schemas-microsoft-com:vml" id="rectole0000000000" style="width:516.300000pt;height:118.4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</w:pP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Via Caio Ponzio Telesino, </w:t>
      </w:r>
      <w:r>
        <w:rPr>
          <w:rFonts w:ascii="Felix Titling" w:hAnsi="Felix Titling" w:cs="Felix Titling" w:eastAsia="Felix Titling"/>
          <w:color w:val="auto"/>
          <w:spacing w:val="0"/>
          <w:position w:val="0"/>
          <w:sz w:val="18"/>
          <w:shd w:fill="auto" w:val="clear"/>
        </w:rPr>
        <w:t xml:space="preserve">26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–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Felix Titling" w:hAnsi="Felix Titling" w:cs="Felix Titling" w:eastAsia="Felix Titling"/>
          <w:color w:val="auto"/>
          <w:spacing w:val="0"/>
          <w:position w:val="0"/>
          <w:sz w:val="18"/>
          <w:shd w:fill="auto" w:val="clear"/>
        </w:rPr>
        <w:t xml:space="preserve">82037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 Telese Terme (BN) 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–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 tel.</w:t>
      </w:r>
      <w:r>
        <w:rPr>
          <w:rFonts w:ascii="Felix Titling" w:hAnsi="Felix Titling" w:cs="Felix Titling" w:eastAsia="Felix Titling"/>
          <w:color w:val="auto"/>
          <w:spacing w:val="0"/>
          <w:position w:val="0"/>
          <w:sz w:val="18"/>
          <w:shd w:fill="auto" w:val="clear"/>
        </w:rPr>
        <w:t xml:space="preserve">0824 976246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 - fax</w:t>
      </w:r>
      <w:r>
        <w:rPr>
          <w:rFonts w:ascii="Verdana" w:hAnsi="Verdana" w:cs="Verdana" w:eastAsia="Verdana"/>
          <w:b/>
          <w:color w:val="4F667A"/>
          <w:spacing w:val="0"/>
          <w:position w:val="0"/>
          <w:sz w:val="15"/>
          <w:shd w:fill="auto" w:val="clear"/>
        </w:rPr>
        <w:t xml:space="preserve"> </w:t>
      </w:r>
      <w:r>
        <w:rPr>
          <w:rFonts w:ascii="Felix Titling" w:hAnsi="Felix Titling" w:cs="Felix Titling" w:eastAsia="Felix Titling"/>
          <w:color w:val="auto"/>
          <w:spacing w:val="0"/>
          <w:position w:val="0"/>
          <w:sz w:val="18"/>
          <w:shd w:fill="auto" w:val="clear"/>
        </w:rPr>
        <w:t xml:space="preserve">0824 975029</w:t>
      </w:r>
    </w:p>
    <w:p>
      <w:pPr>
        <w:spacing w:before="0" w:after="0" w:line="240"/>
        <w:ind w:right="0" w:left="0" w:firstLine="0"/>
        <w:jc w:val="center"/>
        <w:rPr>
          <w:rFonts w:ascii="High Tower Text" w:hAnsi="High Tower Text" w:cs="High Tower Text" w:eastAsia="High Tower Text"/>
          <w:color w:val="auto"/>
          <w:spacing w:val="0"/>
          <w:position w:val="0"/>
          <w:sz w:val="20"/>
          <w:shd w:fill="auto" w:val="clear"/>
        </w:rPr>
      </w:pP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Codice scuola: BNIS</w:t>
      </w:r>
      <w:r>
        <w:rPr>
          <w:rFonts w:ascii="Felix Titling" w:hAnsi="Felix Titling" w:cs="Felix Titling" w:eastAsia="Felix Titling"/>
          <w:color w:val="auto"/>
          <w:spacing w:val="0"/>
          <w:position w:val="0"/>
          <w:sz w:val="18"/>
          <w:shd w:fill="auto" w:val="clear"/>
        </w:rPr>
        <w:t xml:space="preserve">00200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T - e-mail: </w:t>
      </w:r>
      <w:hyperlink xmlns:r="http://schemas.openxmlformats.org/officeDocument/2006/relationships" r:id="docRId2">
        <w:r>
          <w:rPr>
            <w:rFonts w:ascii="High Tower Text" w:hAnsi="High Tower Text" w:cs="High Tower Text" w:eastAsia="High Tower Text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bnis</w:t>
        </w:r>
        <w:r>
          <w:rPr>
            <w:rFonts w:ascii="Felix Titling" w:hAnsi="Felix Titling" w:cs="Felix Titling" w:eastAsia="Felix Titling"/>
            <w:color w:val="0000FF"/>
            <w:spacing w:val="0"/>
            <w:position w:val="0"/>
            <w:sz w:val="16"/>
            <w:u w:val="single"/>
            <w:shd w:fill="auto" w:val="clear"/>
          </w:rPr>
          <w:t xml:space="preserve"> HYPERLINK "mailto:bnis00200t@istruzione.it"</w:t>
        </w:r>
        <w:r>
          <w:rPr>
            <w:rFonts w:ascii="Felix Titling" w:hAnsi="Felix Titling" w:cs="Felix Titling" w:eastAsia="Felix Titling"/>
            <w:color w:val="0000FF"/>
            <w:spacing w:val="0"/>
            <w:position w:val="0"/>
            <w:sz w:val="16"/>
            <w:u w:val="single"/>
            <w:shd w:fill="auto" w:val="clear"/>
          </w:rPr>
          <w:t xml:space="preserve">00200</w:t>
        </w:r>
        <w:r>
          <w:rPr>
            <w:rFonts w:ascii="High Tower Text" w:hAnsi="High Tower Text" w:cs="High Tower Text" w:eastAsia="High Tower Text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 HYPERLINK "mailto:bnis00200t@istruzione.it"</w:t>
        </w:r>
        <w:r>
          <w:rPr>
            <w:rFonts w:ascii="High Tower Text" w:hAnsi="High Tower Text" w:cs="High Tower Text" w:eastAsia="High Tower Text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t@istruzione.it</w:t>
        </w:r>
      </w:hyperlink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20"/>
          <w:shd w:fill="auto" w:val="clear"/>
        </w:rPr>
        <w:t xml:space="preserve"> sito web </w:t>
      </w:r>
      <w:hyperlink xmlns:r="http://schemas.openxmlformats.org/officeDocument/2006/relationships" r:id="docRId3">
        <w:r>
          <w:rPr>
            <w:rFonts w:ascii="High Tower Text" w:hAnsi="High Tower Text" w:cs="High Tower Text" w:eastAsia="High Tower Text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www.iistelese.it</w:t>
        </w:r>
      </w:hyperlink>
    </w:p>
    <w:p>
      <w:pPr>
        <w:spacing w:before="0" w:after="0" w:line="240"/>
        <w:ind w:right="0" w:left="0" w:firstLine="0"/>
        <w:jc w:val="center"/>
        <w:rPr>
          <w:rFonts w:ascii="High Tower Text" w:hAnsi="High Tower Text" w:cs="High Tower Text" w:eastAsia="High Tower Text"/>
          <w:color w:val="A6A6A6"/>
          <w:spacing w:val="0"/>
          <w:position w:val="0"/>
          <w:sz w:val="16"/>
          <w:shd w:fill="auto" w:val="clear"/>
        </w:rPr>
      </w:pPr>
      <w:r>
        <w:rPr>
          <w:rFonts w:ascii="High Tower Text" w:hAnsi="High Tower Text" w:cs="High Tower Text" w:eastAsia="High Tower Text"/>
          <w:color w:val="A6A6A6"/>
          <w:spacing w:val="0"/>
          <w:position w:val="0"/>
          <w:sz w:val="16"/>
          <w:shd w:fill="auto" w:val="clear"/>
        </w:rPr>
        <w:t xml:space="preserve">_________________________________________________________________________________________________________________________________________</w:t>
      </w:r>
    </w:p>
    <w:p>
      <w:pPr>
        <w:tabs>
          <w:tab w:val="right" w:pos="2700" w:leader="none"/>
        </w:tabs>
        <w:spacing w:before="0" w:after="0" w:line="240"/>
        <w:ind w:right="0" w:left="0" w:firstLine="0"/>
        <w:jc w:val="center"/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</w:pP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Il Dirigente Scolastico 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–</w:t>
      </w:r>
      <w:r>
        <w:rPr>
          <w:rFonts w:ascii="High Tower Text" w:hAnsi="High Tower Text" w:cs="High Tower Text" w:eastAsia="High Tower Text"/>
          <w:color w:val="auto"/>
          <w:spacing w:val="0"/>
          <w:position w:val="0"/>
          <w:sz w:val="18"/>
          <w:shd w:fill="auto" w:val="clear"/>
        </w:rPr>
        <w:t xml:space="preserve"> Domenica DI SORBO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A.S. 2015/2016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  <w:t xml:space="preserve">PIANO DI LAVORO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  <w:t xml:space="preserve">Prof.    carmelina di paola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  <w:t xml:space="preserve">Materia     matematica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  <w:t xml:space="preserve">Classe    4°       Sez.    P1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aps w:val="true"/>
          <w:color w:val="auto"/>
          <w:spacing w:val="0"/>
          <w:position w:val="0"/>
          <w:sz w:val="32"/>
          <w:shd w:fill="auto" w:val="clear"/>
        </w:rPr>
        <w:t xml:space="preserve">Data di presentazione   30/10/2015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Firma del docente: CARMELINA DI PAOLA</w:t>
      </w:r>
    </w:p>
    <w:p>
      <w:pPr>
        <w:keepNext w:val="true"/>
        <w:spacing w:before="0" w:after="0" w:line="240"/>
        <w:ind w:right="0" w:left="0" w:firstLine="0"/>
        <w:jc w:val="righ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258"/>
        <w:gridCol w:w="3260"/>
        <w:gridCol w:w="3260"/>
      </w:tblGrid>
      <w:tr>
        <w:trPr>
          <w:trHeight w:val="1" w:hRule="atLeast"/>
          <w:jc w:val="left"/>
          <w:cantSplit w:val="1"/>
        </w:trPr>
        <w:tc>
          <w:tcPr>
            <w:tcW w:w="977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ab/>
              <w:tab/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COMPOSIZIONE DELLA CLASSE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40" w:hRule="auto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aps w:val="true"/>
                <w:color w:val="auto"/>
                <w:spacing w:val="0"/>
                <w:position w:val="0"/>
                <w:sz w:val="22"/>
                <w:shd w:fill="auto" w:val="clear"/>
              </w:rPr>
              <w:t xml:space="preserve">N. Studenti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aps w:val="true"/>
                <w:color w:val="auto"/>
                <w:spacing w:val="0"/>
                <w:position w:val="0"/>
                <w:sz w:val="22"/>
                <w:shd w:fill="auto" w:val="clear"/>
              </w:rPr>
              <w:t xml:space="preserve">Maschi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aps w:val="true"/>
                <w:color w:val="auto"/>
                <w:spacing w:val="0"/>
                <w:position w:val="0"/>
                <w:sz w:val="22"/>
                <w:shd w:fill="auto" w:val="clear"/>
              </w:rPr>
              <w:t xml:space="preserve">Femmine</w:t>
            </w:r>
          </w:p>
        </w:tc>
      </w:tr>
      <w:tr>
        <w:trPr>
          <w:trHeight w:val="340" w:hRule="auto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20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20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keepNext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numPr>
          <w:ilvl w:val="0"/>
          <w:numId w:val="20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Profilo della classe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La classe 4° P1  consta di 20 studenti iscritti, ma 15 frequentanti effettivi. Difatti dall'inizio dell'anno scolastico, tre studenti di cui 2 ripetenti, non hanno proprio ripreso a frequentare le lezioni, mentre altri 2 si sono ritirati successivamente.</w:t>
      </w: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3"/>
        </w:numPr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Analisi della situazione iniziale: il gruppo classe risulta molto omogeneo dal punto di vista di una preparazione globale, anche se con sostanziali differenze nell'acquisizione dei contenuti. Emergono 4/5 studenti che risultano molto più intuitivi degli altri , con una maggiore predisposizione nella risoluzione delle varie problematiche. Il rimanente della classe, anche se più lentamente e con qualche rivisitazione dei concetti, riesce ad ottenere sufficienti risultati.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708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Competenze trasversali di cittadinanza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-Conoscere ed utilizzare i concetti e i metodi elementari della matematica,sia interni alla disciplina in sé considerata, sia rilevanti per la descrizione e la previsione di semplici fenomeni, in particolare del mondo fisico.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-Conoscere le metodologie elementari per la costruzione di modelli matematici in casi molto semplici ma istruttivi. 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Saper utilizzare gli strumenti informatici, al fine di manipolare e rappresentare oggetti matematici e dati elementari testuali e multimediali.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9"/>
        </w:numPr>
        <w:tabs>
          <w:tab w:val="left" w:pos="4819" w:leader="none"/>
          <w:tab w:val="left" w:pos="9638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Quadro degli obiettivi (minimi, intermedi, finali) in riferimento agli assi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Saper risolvere correttamente equazioni di 1° e 2° grado.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2"/>
        </w:numPr>
        <w:spacing w:before="0" w:after="0" w:line="240"/>
        <w:ind w:right="0" w:left="159" w:hanging="159"/>
        <w:jc w:val="left"/>
        <w:rPr>
          <w:rFonts w:ascii="Arial Narrow" w:hAnsi="Arial Narrow" w:cs="Arial Narrow" w:eastAsia="Arial Narrow"/>
          <w:color w:val="000000"/>
          <w:spacing w:val="0"/>
          <w:position w:val="0"/>
          <w:sz w:val="22"/>
          <w:shd w:fill="auto" w:val="clear"/>
        </w:rPr>
      </w:pPr>
      <w:r>
        <w:rPr>
          <w:rFonts w:ascii="Arial Narrow" w:hAnsi="Arial Narrow" w:cs="Arial Narrow" w:eastAsia="Arial Narrow"/>
          <w:color w:val="000000"/>
          <w:spacing w:val="0"/>
          <w:position w:val="0"/>
          <w:sz w:val="22"/>
          <w:shd w:fill="auto" w:val="clear"/>
        </w:rPr>
        <w:t xml:space="preserve">Individuare le principali proprietà di una funzione: dominio, iniettività, suriettività, biettività, (dis)parità, (de)crescenza, periodicità di una funzione</w:t>
      </w:r>
    </w:p>
    <w:p>
      <w:pPr>
        <w:spacing w:before="0" w:after="0" w:line="240"/>
        <w:ind w:right="0" w:left="720" w:firstLine="0"/>
        <w:jc w:val="left"/>
        <w:rPr>
          <w:rFonts w:ascii="Arial Narrow" w:hAnsi="Arial Narrow" w:cs="Arial Narrow" w:eastAsia="Arial Narrow"/>
          <w:color w:val="000000"/>
          <w:spacing w:val="0"/>
          <w:position w:val="0"/>
          <w:sz w:val="22"/>
          <w:shd w:fill="auto" w:val="clear"/>
        </w:rPr>
      </w:pPr>
      <w:r>
        <w:rPr>
          <w:rFonts w:ascii="Arial Narrow" w:hAnsi="Arial Narrow" w:cs="Arial Narrow" w:eastAsia="Arial Narrow"/>
          <w:color w:val="000000"/>
          <w:spacing w:val="0"/>
          <w:position w:val="0"/>
          <w:sz w:val="22"/>
          <w:shd w:fill="auto" w:val="clear"/>
        </w:rPr>
        <w:t xml:space="preserve">Rappresentare il grafico di semplici  funzioni polinomiali, esponenziali e periodiche.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5"/>
        </w:numPr>
        <w:spacing w:before="0" w:after="0" w:line="240"/>
        <w:ind w:right="0" w:left="159" w:hanging="159"/>
        <w:jc w:val="left"/>
        <w:rPr>
          <w:rFonts w:ascii="Arial Narrow" w:hAnsi="Arial Narrow" w:cs="Arial Narrow" w:eastAsia="Arial Narrow"/>
          <w:color w:val="000000"/>
          <w:spacing w:val="0"/>
          <w:position w:val="0"/>
          <w:sz w:val="22"/>
          <w:shd w:fill="auto" w:val="clear"/>
        </w:rPr>
      </w:pPr>
      <w:r>
        <w:rPr>
          <w:rFonts w:ascii="Arial Narrow" w:hAnsi="Arial Narrow" w:cs="Arial Narrow" w:eastAsia="Arial Narrow"/>
          <w:color w:val="000000"/>
          <w:spacing w:val="0"/>
          <w:position w:val="0"/>
          <w:sz w:val="22"/>
          <w:shd w:fill="auto" w:val="clear"/>
        </w:rPr>
        <w:t xml:space="preserve">Verificare il limite di una funzione mediante la definizione.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7"/>
        </w:numPr>
        <w:tabs>
          <w:tab w:val="left" w:pos="4819" w:leader="none"/>
          <w:tab w:val="left" w:pos="9638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Articolazione delle competenze in abilità e conoscenze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36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tbl>
      <w:tblPr>
        <w:tblInd w:w="817" w:type="dxa"/>
      </w:tblPr>
      <w:tblGrid>
        <w:gridCol w:w="2646"/>
        <w:gridCol w:w="2646"/>
        <w:gridCol w:w="2646"/>
      </w:tblGrid>
      <w:tr>
        <w:trPr>
          <w:trHeight w:val="1" w:hRule="atLeast"/>
          <w:jc w:val="left"/>
        </w:trPr>
        <w:tc>
          <w:tcPr>
            <w:tcW w:w="26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COMPETENZE</w:t>
            </w:r>
          </w:p>
        </w:tc>
        <w:tc>
          <w:tcPr>
            <w:tcW w:w="26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ABILITÀ</w:t>
            </w:r>
          </w:p>
        </w:tc>
        <w:tc>
          <w:tcPr>
            <w:tcW w:w="26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CONOSCENZE</w:t>
            </w:r>
          </w:p>
        </w:tc>
      </w:tr>
      <w:tr>
        <w:trPr>
          <w:trHeight w:val="1" w:hRule="atLeast"/>
          <w:jc w:val="left"/>
        </w:trPr>
        <w:tc>
          <w:tcPr>
            <w:tcW w:w="26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45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Individuare le principali proprietà di una funzione.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Rappresentare grafici di particolari funzioni: lineari, quadratiche, esponenziali, logaritmiche.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Saper operare con le successioni e le progressioni.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Arial Narrow" w:hAnsi="Arial Narrow" w:cs="Arial Narrow" w:eastAsia="Arial Narrow"/>
                <w:color w:val="000000"/>
                <w:spacing w:val="0"/>
                <w:position w:val="0"/>
                <w:sz w:val="22"/>
                <w:shd w:fill="auto" w:val="clear"/>
              </w:rPr>
              <w:t xml:space="preserve">Utilizzare le strategie del pensiero razionale negli aspetti dialettici e algoritmici per affrontare situazioni problematiche, elaborando opportune soluzioni.</w:t>
            </w:r>
          </w:p>
        </w:tc>
        <w:tc>
          <w:tcPr>
            <w:tcW w:w="26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Saper  riconoscere dominio e codominio; iniettività,  suriettività e biettività di una funzione.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(dis)parità e (de)crescenza, periodicità di una funzione.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Risolvere equazioni  e disequazioni esponenziali e logaritmiche.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Determinare i termini di una progressione, noti alcuni elementi.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Saper determinare la somma dei primi n termini di una progressione.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159" w:firstLine="0"/>
              <w:jc w:val="left"/>
              <w:rPr>
                <w:rFonts w:ascii="Arial Narrow" w:hAnsi="Arial Narrow" w:cs="Arial Narrow" w:eastAsia="Arial Narrow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 Narrow" w:hAnsi="Arial Narrow" w:cs="Arial Narrow" w:eastAsia="Arial Narrow"/>
                <w:color w:val="000000"/>
                <w:spacing w:val="0"/>
                <w:position w:val="0"/>
                <w:sz w:val="22"/>
                <w:shd w:fill="auto" w:val="clear"/>
              </w:rPr>
              <w:t xml:space="preserve">Saper Verificare il limite di una funzione mediante la definizione.</w:t>
            </w:r>
          </w:p>
          <w:p>
            <w:pPr>
              <w:spacing w:before="0" w:after="0" w:line="240"/>
              <w:ind w:right="0" w:left="159" w:firstLine="0"/>
              <w:jc w:val="left"/>
              <w:rPr>
                <w:rFonts w:ascii="Arial Narrow" w:hAnsi="Arial Narrow" w:cs="Arial Narrow" w:eastAsia="Arial Narrow"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numPr>
                <w:ilvl w:val="0"/>
                <w:numId w:val="47"/>
              </w:numPr>
              <w:spacing w:before="0" w:after="0" w:line="240"/>
              <w:ind w:right="0" w:left="159" w:hanging="159"/>
              <w:jc w:val="left"/>
              <w:rPr>
                <w:rFonts w:ascii="Arial Narrow" w:hAnsi="Arial Narrow" w:cs="Arial Narrow" w:eastAsia="Arial Narrow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 Narrow" w:hAnsi="Arial Narrow" w:cs="Arial Narrow" w:eastAsia="Arial Narrow"/>
                <w:color w:val="000000"/>
                <w:spacing w:val="0"/>
                <w:position w:val="0"/>
                <w:sz w:val="22"/>
                <w:shd w:fill="auto" w:val="clear"/>
              </w:rPr>
              <w:t xml:space="preserve">Calcolare il limite di somme, prodotti, quozienti e potenze di funzioni</w:t>
            </w:r>
          </w:p>
          <w:p>
            <w:pPr>
              <w:numPr>
                <w:ilvl w:val="0"/>
                <w:numId w:val="47"/>
              </w:numPr>
              <w:spacing w:before="0" w:after="0" w:line="240"/>
              <w:ind w:right="0" w:left="159" w:hanging="159"/>
              <w:jc w:val="left"/>
              <w:rPr>
                <w:rFonts w:ascii="Arial Narrow" w:hAnsi="Arial Narrow" w:cs="Arial Narrow" w:eastAsia="Arial Narrow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 Narrow" w:hAnsi="Arial Narrow" w:cs="Arial Narrow" w:eastAsia="Arial Narrow"/>
                <w:color w:val="000000"/>
                <w:spacing w:val="0"/>
                <w:position w:val="0"/>
                <w:sz w:val="22"/>
                <w:shd w:fill="auto" w:val="clear"/>
              </w:rPr>
              <w:t xml:space="preserve">Calcolare limiti che si presentano sotto forma indeterminata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26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Le funzioni e le loro proprietà.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Le funzioni polinomiali e le funzioni esponenziali.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Le successioni numeriche e le progressioni.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 limiti.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 teoremi sui limiti.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Il calcolo dei limiti di funzioni.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Il concetto di derivata di  una funzione.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Regole di derivazione.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Il concetto di integrale.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aps w:val="true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aps w:val="true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51"/>
        </w:numPr>
        <w:tabs>
          <w:tab w:val="left" w:pos="4819" w:leader="none"/>
          <w:tab w:val="left" w:pos="9638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Articolazione dei contenuti 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Modulo 1       (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settembre-ottobre)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 Riepilogo su equazioni e disequazioni di secondo grado.</w:t>
      </w:r>
    </w:p>
    <w:p>
      <w:pPr>
        <w:tabs>
          <w:tab w:val="left" w:pos="4819" w:leader="none"/>
          <w:tab w:val="left" w:pos="9638" w:leader="none"/>
          <w:tab w:val="left" w:pos="1041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       </w:t>
        <w:tab/>
        <w:t xml:space="preserve">                                      Le funzioni e loro proprietà.</w:t>
      </w:r>
    </w:p>
    <w:p>
      <w:pPr>
        <w:tabs>
          <w:tab w:val="left" w:pos="4819" w:leader="none"/>
          <w:tab w:val="left" w:pos="9638" w:leader="none"/>
          <w:tab w:val="left" w:pos="1041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ab/>
        <w:t xml:space="preserve">                                      Intorni, intervalli. Campo di esistenza di una funzione.</w:t>
      </w:r>
    </w:p>
    <w:p>
      <w:pPr>
        <w:tabs>
          <w:tab w:val="left" w:pos="4819" w:leader="none"/>
          <w:tab w:val="left" w:pos="9638" w:leader="none"/>
          <w:tab w:val="left" w:pos="1041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  <w:tab w:val="left" w:pos="1041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MODULO 2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(Novembre- dicembre)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Le successioni.</w:t>
      </w:r>
    </w:p>
    <w:p>
      <w:pPr>
        <w:tabs>
          <w:tab w:val="left" w:pos="4819" w:leader="none"/>
          <w:tab w:val="left" w:pos="9638" w:leader="none"/>
          <w:tab w:val="left" w:pos="1041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Le progressioni.</w:t>
      </w:r>
    </w:p>
    <w:p>
      <w:pPr>
        <w:tabs>
          <w:tab w:val="left" w:pos="4819" w:leader="none"/>
          <w:tab w:val="left" w:pos="9638" w:leader="none"/>
          <w:tab w:val="left" w:pos="1041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I limiti di funzioni.</w:t>
      </w:r>
    </w:p>
    <w:p>
      <w:pPr>
        <w:tabs>
          <w:tab w:val="left" w:pos="4819" w:leader="none"/>
          <w:tab w:val="left" w:pos="9638" w:leader="none"/>
          <w:tab w:val="left" w:pos="1041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MODULO 3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(Gennaio- febbraio)  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I limiti. Primi Teoremi sui limiti.</w:t>
      </w:r>
    </w:p>
    <w:p>
      <w:pPr>
        <w:tabs>
          <w:tab w:val="left" w:pos="4819" w:leader="none"/>
          <w:tab w:val="left" w:pos="9638" w:leader="none"/>
          <w:tab w:val="left" w:pos="288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ab/>
        <w:t xml:space="preserve">      Il calcolo dei limiti. Forme indeterminate.</w:t>
      </w:r>
    </w:p>
    <w:p>
      <w:pPr>
        <w:tabs>
          <w:tab w:val="left" w:pos="4819" w:leader="none"/>
          <w:tab w:val="left" w:pos="9638" w:leader="none"/>
          <w:tab w:val="left" w:pos="2795" w:leader="none"/>
          <w:tab w:val="left" w:pos="288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  <w:tab/>
        <w:t xml:space="preserve">  </w:t>
        <w:tab/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I limiti notevoli.</w:t>
      </w:r>
    </w:p>
    <w:p>
      <w:pPr>
        <w:tabs>
          <w:tab w:val="left" w:pos="4819" w:leader="none"/>
          <w:tab w:val="left" w:pos="9638" w:leader="none"/>
          <w:tab w:val="left" w:pos="288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  <w:tab w:val="left" w:pos="288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MODULO 4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(Marzo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aprile)</w:t>
        <w:tab/>
        <w:t xml:space="preserve">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Le derivate. Regole di derivazione.</w:t>
      </w:r>
    </w:p>
    <w:p>
      <w:pPr>
        <w:tabs>
          <w:tab w:val="left" w:pos="4819" w:leader="none"/>
          <w:tab w:val="left" w:pos="9638" w:leader="none"/>
          <w:tab w:val="left" w:pos="288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  <w:tab w:val="left" w:pos="2880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Modulo 5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(Maggio-  giugno)</w:t>
        <w:tab/>
        <w:t xml:space="preserve">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Gli integrali.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58"/>
        </w:numPr>
        <w:tabs>
          <w:tab w:val="left" w:pos="4819" w:leader="none"/>
          <w:tab w:val="left" w:pos="9638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Metodologia 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Problem  solving; lezione frontale; Lavori di gruppo.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60"/>
        </w:numPr>
        <w:tabs>
          <w:tab w:val="left" w:pos="4819" w:leader="none"/>
          <w:tab w:val="left" w:pos="9638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Criteri per la verifica e la valutazione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Come già stabilito in sede di riunione dipartimentale, per la verifica delle competenze si terrà conto di un congruo numero di test, compiti scritti ed interrogazioni orali per ciascun quadrimestre. 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Per la valutazione si adotteranno i criteri e le griglie di valutazione presenti sul sito web dell’istituto.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66"/>
        </w:numPr>
        <w:tabs>
          <w:tab w:val="left" w:pos="4819" w:leader="none"/>
          <w:tab w:val="left" w:pos="9638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Attività di recupero in itinere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Per quanto riguarda il recupero si seguiranno le indicazioni del Dipartimento e, qualora se ne ravvisasse la necessità, si effettuerà una pausa didattica.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69"/>
        </w:numPr>
        <w:tabs>
          <w:tab w:val="left" w:pos="4819" w:leader="none"/>
          <w:tab w:val="left" w:pos="9638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Risorse educative 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Libro di testo, fotocopie, mappe concettuali,  audiovisivi e/o ricerca in Internet,  riviste specializzate.</w:t>
      </w: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4819" w:leader="none"/>
          <w:tab w:val="left" w:pos="9638" w:leader="none"/>
        </w:tabs>
        <w:spacing w:before="0" w:after="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num w:numId="20">
    <w:abstractNumId w:val="66"/>
  </w:num>
  <w:num w:numId="23">
    <w:abstractNumId w:val="60"/>
  </w:num>
  <w:num w:numId="29">
    <w:abstractNumId w:val="54"/>
  </w:num>
  <w:num w:numId="32">
    <w:abstractNumId w:val="48"/>
  </w:num>
  <w:num w:numId="35">
    <w:abstractNumId w:val="42"/>
  </w:num>
  <w:num w:numId="37">
    <w:abstractNumId w:val="36"/>
  </w:num>
  <w:num w:numId="47">
    <w:abstractNumId w:val="30"/>
  </w:num>
  <w:num w:numId="51">
    <w:abstractNumId w:val="24"/>
  </w:num>
  <w:num w:numId="58">
    <w:abstractNumId w:val="18"/>
  </w:num>
  <w:num w:numId="60">
    <w:abstractNumId w:val="12"/>
  </w:num>
  <w:num w:numId="66">
    <w:abstractNumId w:val="6"/>
  </w:num>
  <w:num w:numId="6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Mode="External" Target="http://www.iistelese.it/" Id="docRId3" Type="http://schemas.openxmlformats.org/officeDocument/2006/relationships/hyperlink" /><Relationship Target="styles.xml" Id="docRId5" Type="http://schemas.openxmlformats.org/officeDocument/2006/relationships/styles" /><Relationship Target="embeddings/oleObject0.bin" Id="docRId0" Type="http://schemas.openxmlformats.org/officeDocument/2006/relationships/oleObject" /><Relationship TargetMode="External" Target="mailto:bnis00200t@istruzione.it" Id="docRId2" Type="http://schemas.openxmlformats.org/officeDocument/2006/relationships/hyperlink" /><Relationship Target="numbering.xml" Id="docRId4" Type="http://schemas.openxmlformats.org/officeDocument/2006/relationships/numbering" /></Relationships>
</file>