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spacing w:line="200" w:lineRule="atLeast"/>
        <w:jc w:val="center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VERBALE DEL CONSIGLIO D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ISTITUTO N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°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88</w:t>
      </w:r>
    </w:p>
    <w:p>
      <w:pPr>
        <w:pStyle w:val="Normale"/>
        <w:spacing w:after="0" w:line="20" w:lineRule="atLeast"/>
        <w:jc w:val="both"/>
      </w:pPr>
      <w:r>
        <w:rPr>
          <w:rtl w:val="0"/>
          <w:lang w:val="it-IT"/>
        </w:rPr>
        <w:t>Il giorno 25 gennaio 2019, alle ore 16,00, nei locali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di Istruzione Superiore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Telesi@</w:t>
      </w:r>
      <w:r>
        <w:rPr>
          <w:rtl w:val="0"/>
          <w:lang w:val="it-IT"/>
        </w:rPr>
        <w:t xml:space="preserve">, sede centrale di Telese Terme, Via Caio Ponzio Telesino n. 26, 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riunito il Consiglio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per discutere e deliberare sui seguenti punti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del giorno:</w:t>
      </w:r>
    </w:p>
    <w:p>
      <w:pPr>
        <w:pStyle w:val="Normale"/>
        <w:spacing w:after="0" w:line="20" w:lineRule="atLeast"/>
        <w:jc w:val="both"/>
      </w:pPr>
    </w:p>
    <w:p>
      <w:pPr>
        <w:pStyle w:val="Normale"/>
        <w:widowControl w:val="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Lettura (in area riservata) e approvazione verbale seduta precedente;</w:t>
      </w:r>
    </w:p>
    <w:p>
      <w:pPr>
        <w:pStyle w:val="Normale"/>
        <w:widowControl w:val="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Ratifica provvedimenti del D.S. - Variazioni e radiazioni di bilancio E.F. 2018;</w:t>
      </w:r>
    </w:p>
    <w:p>
      <w:pPr>
        <w:pStyle w:val="Normale"/>
        <w:widowControl w:val="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Comunicazione predisposizione P.A. 2019 ed approvazione esercizio provvisorio;</w:t>
      </w:r>
    </w:p>
    <w:p>
      <w:pPr>
        <w:pStyle w:val="Normale"/>
        <w:widowControl w:val="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Determinazione criteri e limiti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attivit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negoziale del Dirigente Scolastico inerente agli affidamenti diretti di lavori, servizi e forniture (art. 45 c. 2 lett. a D.I. 129/2018) e conseguente variazione Regolamento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acquisizione in economia di lavori, servizi e forniture;  </w:t>
      </w:r>
    </w:p>
    <w:p>
      <w:pPr>
        <w:pStyle w:val="Normale"/>
        <w:widowControl w:val="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Quantificazione consistenza massima del fondo economale per le minute spese e fissazione dell'importo massimo di ogni spesa minuta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e.f. 2019; </w:t>
      </w:r>
    </w:p>
    <w:p>
      <w:pPr>
        <w:pStyle w:val="Normale"/>
        <w:widowControl w:val="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Approvazione procedura mista scuola/famiglia organizzazione stage linguistico in Francia;</w:t>
      </w:r>
    </w:p>
    <w:p>
      <w:pPr>
        <w:pStyle w:val="Normale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Reti, protocolli e convenzioni</w:t>
      </w:r>
    </w:p>
    <w:p>
      <w:pPr>
        <w:pStyle w:val="Normale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Integrazione Patto di corresponsabilit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a.s. 2019/2020 con norme sulla prevenzione del bullismo e cyber bullismo e sull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autorizzazione alla pubblicazione delle attivit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istituzionali;</w:t>
      </w:r>
    </w:p>
    <w:p>
      <w:pPr>
        <w:pStyle w:val="Normale"/>
        <w:numPr>
          <w:ilvl w:val="0"/>
          <w:numId w:val="3"/>
        </w:numPr>
        <w:suppressAutoHyphens w:val="0"/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Comunicazioni del Presidente del C.I.;</w:t>
      </w:r>
    </w:p>
    <w:p>
      <w:pPr>
        <w:pStyle w:val="Normale"/>
        <w:widowControl w:val="0"/>
        <w:numPr>
          <w:ilvl w:val="0"/>
          <w:numId w:val="3"/>
        </w:numPr>
        <w:suppressAutoHyphens w:val="0"/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Comunicazioni della Dirigente scolastica. </w:t>
      </w:r>
    </w:p>
    <w:p>
      <w:pPr>
        <w:pStyle w:val="Normale"/>
        <w:spacing w:after="0" w:line="200" w:lineRule="atLeast"/>
        <w:jc w:val="both"/>
      </w:pPr>
    </w:p>
    <w:p>
      <w:pPr>
        <w:pStyle w:val="Normale"/>
        <w:spacing w:after="0" w:line="200" w:lineRule="atLeast"/>
        <w:jc w:val="both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Componenti:</w:t>
      </w:r>
    </w:p>
    <w:tbl>
      <w:tblPr>
        <w:tblW w:w="9650" w:type="dxa"/>
        <w:jc w:val="left"/>
        <w:tblInd w:w="4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6"/>
        <w:gridCol w:w="2367"/>
        <w:gridCol w:w="2551"/>
        <w:gridCol w:w="1700"/>
        <w:gridCol w:w="112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Cognome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Nome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Componente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Presente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Assente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PELOSI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ANGELA MARIA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DIRIGENTE SCOLASTICA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FORGIONE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ROBERTA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D.S.G.A.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DI PAOLA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CARMELINA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IMPARATO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MARIA TERESA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MANCINI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ANGELO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BRUNO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BARBARA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 xml:space="preserve">DEL PRETE 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MARIO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 xml:space="preserve">GUARNIERI 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MICHELANGELO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SANTILLO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LUCIA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VOLPE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PASQUALINA CATERINA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DOCENTI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VARONE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PASQUALINA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A.T.A.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CARANGELO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ANTONIO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GENITORI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VOLPE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VINCENZO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GENITORI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 xml:space="preserve">X 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FRAENZA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ANTONIO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GENITORI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SCOPPA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CONCETTA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GENITORI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 xml:space="preserve">DE LUCIA 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GIUSEPPE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ALUNNI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 xml:space="preserve">DI BRIGIDA 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ANTONIO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ALUNNI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uppressAutoHyphens w:val="1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kern w:val="1"/>
                <w:sz w:val="22"/>
                <w:szCs w:val="22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DI MEO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JESSICA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ALUNNI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IACOMINO</w:t>
            </w:r>
          </w:p>
        </w:tc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both"/>
            </w:pPr>
            <w:r>
              <w:rPr>
                <w:rtl w:val="0"/>
                <w:lang w:val="it-IT"/>
              </w:rPr>
              <w:t>LUIGI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tl w:val="0"/>
                <w:lang w:val="it-IT"/>
              </w:rPr>
              <w:t>ALUNNI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00" w:lineRule="atLeast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it-IT"/>
              </w:rPr>
              <w:t>X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305" w:hanging="305"/>
        <w:rPr>
          <w:rFonts w:ascii="Calibri" w:cs="Calibri" w:hAnsi="Calibri" w:eastAsia="Calibri"/>
          <w:b w:val="1"/>
          <w:bCs w:val="1"/>
        </w:rPr>
      </w:pPr>
    </w:p>
    <w:p>
      <w:pPr>
        <w:pStyle w:val="Normale"/>
        <w:widowControl w:val="0"/>
        <w:spacing w:after="0" w:line="240" w:lineRule="auto"/>
        <w:ind w:left="197" w:hanging="197"/>
        <w:jc w:val="both"/>
        <w:rPr>
          <w:b w:val="1"/>
          <w:bCs w:val="1"/>
        </w:rPr>
      </w:pPr>
    </w:p>
    <w:p>
      <w:pPr>
        <w:pStyle w:val="Normale"/>
        <w:widowControl w:val="0"/>
        <w:spacing w:after="0" w:line="240" w:lineRule="auto"/>
        <w:ind w:left="89" w:hanging="89"/>
        <w:jc w:val="both"/>
        <w:rPr>
          <w:b w:val="1"/>
          <w:bCs w:val="1"/>
        </w:rPr>
      </w:pPr>
    </w:p>
    <w:p>
      <w:pPr>
        <w:pStyle w:val="Normale"/>
        <w:spacing w:after="0"/>
        <w:jc w:val="both"/>
        <w:rPr>
          <w:shd w:val="clear" w:color="auto" w:fill="feffff"/>
        </w:rPr>
      </w:pPr>
      <w:r>
        <w:rPr>
          <w:shd w:val="clear" w:color="auto" w:fill="feffff"/>
          <w:rtl w:val="0"/>
          <w:lang w:val="it-IT"/>
        </w:rPr>
        <w:t xml:space="preserve">Totale presenti </w:t>
        <w:tab/>
        <w:t>n. _12__</w:t>
      </w:r>
    </w:p>
    <w:p>
      <w:pPr>
        <w:pStyle w:val="Normale"/>
        <w:spacing w:after="0"/>
        <w:jc w:val="both"/>
        <w:rPr>
          <w:shd w:val="clear" w:color="auto" w:fill="feffff"/>
        </w:rPr>
      </w:pPr>
      <w:r>
        <w:rPr>
          <w:shd w:val="clear" w:color="auto" w:fill="feffff"/>
          <w:rtl w:val="0"/>
          <w:lang w:val="it-IT"/>
        </w:rPr>
        <w:t xml:space="preserve">Totale assenti </w:t>
        <w:tab/>
        <w:t>n. _7_</w:t>
      </w:r>
    </w:p>
    <w:p>
      <w:pPr>
        <w:pStyle w:val="Normale"/>
        <w:spacing w:after="0"/>
        <w:jc w:val="both"/>
      </w:pPr>
      <w:r>
        <w:rPr>
          <w:rtl w:val="0"/>
          <w:lang w:val="it-IT"/>
        </w:rPr>
        <w:t>Verificata la presenza del numero legale, il Presedente dichiara aperta la seduta.</w:t>
      </w:r>
    </w:p>
    <w:p>
      <w:pPr>
        <w:pStyle w:val="Normale"/>
        <w:spacing w:after="0"/>
        <w:jc w:val="both"/>
      </w:pPr>
      <w:r>
        <w:rPr>
          <w:rtl w:val="0"/>
          <w:lang w:val="it-IT"/>
        </w:rPr>
        <w:t>Si passa alla discussione dei punti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o.d.g. :</w:t>
      </w:r>
    </w:p>
    <w:p>
      <w:pPr>
        <w:pStyle w:val="Normale"/>
        <w:spacing w:after="0"/>
        <w:jc w:val="both"/>
      </w:pPr>
    </w:p>
    <w:p>
      <w:pPr>
        <w:pStyle w:val="Normale"/>
        <w:widowControl w:val="0"/>
        <w:numPr>
          <w:ilvl w:val="0"/>
          <w:numId w:val="5"/>
        </w:numPr>
        <w:suppressAutoHyphens w:val="0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Lettura e approvazione verbale seduta precedente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: I componenti, letto il verbale n. 87 nell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area riservata del Consiglio d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istituto, lo approvano all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unanimit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à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.</w:t>
      </w:r>
    </w:p>
    <w:p>
      <w:pPr>
        <w:pStyle w:val="Normale"/>
        <w:widowControl w:val="0"/>
        <w:numPr>
          <w:ilvl w:val="0"/>
          <w:numId w:val="5"/>
        </w:numPr>
        <w:suppressAutoHyphens w:val="0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Ratifica provvedimenti del D.S. - Variazioni e radiazioni di bilancio E.F. 2018;</w:t>
      </w:r>
    </w:p>
    <w:p>
      <w:pPr>
        <w:pStyle w:val="Normale"/>
        <w:widowControl w:val="0"/>
        <w:suppressAutoHyphens w:val="0"/>
        <w:spacing w:after="0" w:line="240" w:lineRule="auto"/>
        <w:ind w:left="720" w:firstLine="0"/>
        <w:jc w:val="both"/>
      </w:pPr>
      <w:r>
        <w:rPr>
          <w:rtl w:val="0"/>
          <w:lang w:val="it-IT"/>
        </w:rPr>
        <w:t>Si portano in visione e si allegano al presente verbale i provvedimenti della D.S. di Variazioni e radiazioni di bilancio E.F. 2018 resisi necessari.</w:t>
      </w:r>
    </w:p>
    <w:p>
      <w:pPr>
        <w:pStyle w:val="Normale"/>
        <w:widowControl w:val="0"/>
        <w:suppressAutoHyphens w:val="0"/>
        <w:spacing w:after="0" w:line="240" w:lineRule="auto"/>
        <w:ind w:left="720" w:firstLine="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Il Consiglio approva all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unanimit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à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.</w:t>
      </w:r>
    </w:p>
    <w:p>
      <w:pPr>
        <w:pStyle w:val="Normale"/>
        <w:widowControl w:val="0"/>
        <w:numPr>
          <w:ilvl w:val="0"/>
          <w:numId w:val="5"/>
        </w:numPr>
        <w:suppressAutoHyphens w:val="0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Comunicazione predisposizione P.A. 2019 ed approvazione esercizio provvisorio;</w:t>
      </w:r>
    </w:p>
    <w:p>
      <w:pPr>
        <w:pStyle w:val="Normale"/>
        <w:widowControl w:val="0"/>
        <w:suppressAutoHyphens w:val="0"/>
        <w:spacing w:after="0" w:line="240" w:lineRule="auto"/>
        <w:ind w:left="720" w:firstLine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IL CONSIGLIO D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ISTITUTO</w:t>
      </w:r>
    </w:p>
    <w:p>
      <w:pPr>
        <w:pStyle w:val="Normale"/>
        <w:spacing w:after="0" w:line="240" w:lineRule="auto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ASCOLTATO</w:t>
      </w:r>
      <w:r>
        <w:rPr>
          <w:rtl w:val="0"/>
          <w:lang w:val="it-IT"/>
        </w:rPr>
        <w:t xml:space="preserve"> </w:t>
        <w:tab/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intervento del Presidente e la discussione che 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seguita;</w:t>
      </w:r>
    </w:p>
    <w:p>
      <w:pPr>
        <w:pStyle w:val="Normale"/>
        <w:spacing w:after="0" w:line="240" w:lineRule="auto"/>
        <w:ind w:left="1418" w:hanging="1418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VISTO</w:t>
      </w:r>
      <w:r>
        <w:rPr>
          <w:rtl w:val="0"/>
          <w:lang w:val="it-IT"/>
        </w:rPr>
        <w:t xml:space="preserve"> </w:t>
        <w:tab/>
        <w:t>il Regolamento recante istruzioni generali sulla gestione amministrativo-contabile delle istituzioni scolastiche, ai sensi dell'articolo 1, comma 143, della legge 13 luglio 2015, n. 107. Decreto 28 agosto 2018, n. 129;</w:t>
      </w:r>
    </w:p>
    <w:p>
      <w:pPr>
        <w:pStyle w:val="Normale"/>
        <w:spacing w:after="0" w:line="240" w:lineRule="auto"/>
        <w:ind w:left="1418" w:hanging="1418"/>
        <w:jc w:val="both"/>
        <w:rPr>
          <w:kern w:val="0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VISTO</w:t>
      </w:r>
      <w:r>
        <w:rPr>
          <w:rtl w:val="0"/>
          <w:lang w:val="it-IT"/>
        </w:rPr>
        <w:t xml:space="preserve"> </w:t>
        <w:tab/>
        <w:t>il Programma Annuale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esercizio finanziario 2019 predisposto dalla Dirigente Scolastica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in collaborazione con il Direttore SGA e riportato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apposita modulistica;</w:t>
      </w:r>
    </w:p>
    <w:p>
      <w:pPr>
        <w:pStyle w:val="Normale"/>
        <w:spacing w:after="0" w:line="240" w:lineRule="auto"/>
        <w:ind w:left="1418" w:hanging="1418"/>
        <w:jc w:val="both"/>
      </w:pPr>
      <w:r>
        <w:rPr>
          <w:rFonts w:ascii="Calibri" w:cs="Calibri" w:hAnsi="Calibri" w:eastAsia="Calibri"/>
          <w:b w:val="1"/>
          <w:bCs w:val="1"/>
          <w:kern w:val="0"/>
          <w:rtl w:val="0"/>
          <w:lang w:val="it-IT"/>
        </w:rPr>
        <w:t>VISTI</w:t>
      </w:r>
      <w:r>
        <w:rPr>
          <w:kern w:val="0"/>
          <w:rtl w:val="0"/>
          <w:lang w:val="it-IT"/>
        </w:rPr>
        <w:t xml:space="preserve"> </w:t>
        <w:tab/>
        <w:t>gli orientamenti interpretativi emanati da MIUR con nota prot. n. 74 del 5 gennaio 2019;</w:t>
      </w:r>
    </w:p>
    <w:p>
      <w:pPr>
        <w:pStyle w:val="Normale"/>
        <w:spacing w:after="0" w:line="240" w:lineRule="auto"/>
        <w:ind w:left="1418" w:hanging="1418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LETTA</w:t>
      </w:r>
      <w:r>
        <w:rPr>
          <w:rtl w:val="0"/>
          <w:lang w:val="it-IT"/>
        </w:rPr>
        <w:t xml:space="preserve"> </w:t>
        <w:tab/>
        <w:t>la relazione illustrativa del Programma Annuale, predisposta dalla Dirigente in collaborazione con il Direttore SGA;</w:t>
      </w:r>
    </w:p>
    <w:p>
      <w:pPr>
        <w:pStyle w:val="Normale"/>
        <w:spacing w:after="0" w:line="240" w:lineRule="auto"/>
        <w:ind w:left="1418" w:hanging="1418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ACCERTATO</w:t>
      </w:r>
      <w:r>
        <w:rPr>
          <w:rtl w:val="0"/>
          <w:lang w:val="it-IT"/>
        </w:rPr>
        <w:t xml:space="preserve"> </w:t>
        <w:tab/>
        <w:t xml:space="preserve">che il Programma Annuale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coerente con la previsione del Piano Triennale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Offerta Formativa, adottato dal Consiglio di Istituto con deliberazione </w:t>
      </w:r>
      <w:r>
        <w:rPr>
          <w:kern w:val="0"/>
          <w:rtl w:val="0"/>
          <w:lang w:val="it-IT"/>
        </w:rPr>
        <w:t>n.4 verbale n. 87 del 20/12/2018</w:t>
      </w:r>
      <w:r>
        <w:rPr>
          <w:rtl w:val="0"/>
          <w:lang w:val="it-IT"/>
        </w:rPr>
        <w:t>;</w:t>
      </w:r>
    </w:p>
    <w:p>
      <w:pPr>
        <w:pStyle w:val="Normale"/>
        <w:spacing w:after="0" w:line="360" w:lineRule="auto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VISTO</w:t>
        <w:tab/>
        <w:tab/>
      </w:r>
      <w:r>
        <w:rPr>
          <w:rtl w:val="0"/>
          <w:lang w:val="it-IT"/>
        </w:rPr>
        <w:t>Il dispositivo dirigenziale per gestione provvisoria esercizio finanziario 2019 Prot. 442 VI.3 del 19/01/2019;</w:t>
      </w:r>
    </w:p>
    <w:p>
      <w:pPr>
        <w:pStyle w:val="Normale"/>
        <w:spacing w:after="0" w:line="360" w:lineRule="auto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VISTO</w:t>
        <w:tab/>
        <w:tab/>
      </w:r>
      <w:r>
        <w:rPr>
          <w:rtl w:val="0"/>
          <w:lang w:val="it-IT"/>
        </w:rPr>
        <w:t>il verbale di Giunta Esecutiva n. 63 delibera 3 di approvazione del P.A. 2019;</w:t>
      </w:r>
    </w:p>
    <w:p>
      <w:pPr>
        <w:pStyle w:val="Normale"/>
        <w:spacing w:line="36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NE PRENDE ATTO</w:t>
      </w:r>
    </w:p>
    <w:p>
      <w:pPr>
        <w:pStyle w:val="Normale"/>
        <w:spacing w:after="0" w:line="240" w:lineRule="auto"/>
        <w:ind w:left="1418" w:hanging="1418"/>
        <w:jc w:val="both"/>
      </w:pPr>
      <w:r>
        <w:rPr>
          <w:rFonts w:ascii="Calibri" w:cs="Calibri" w:hAnsi="Calibri" w:eastAsia="Calibri"/>
          <w:b w:val="1"/>
          <w:bCs w:val="1"/>
        </w:rPr>
        <w:tab/>
      </w:r>
      <w:r>
        <w:rPr>
          <w:rtl w:val="0"/>
          <w:lang w:val="it-IT"/>
        </w:rPr>
        <w:t xml:space="preserve"> </w:t>
      </w:r>
    </w:p>
    <w:p>
      <w:pPr>
        <w:pStyle w:val="Normale"/>
        <w:widowControl w:val="0"/>
        <w:numPr>
          <w:ilvl w:val="0"/>
          <w:numId w:val="5"/>
        </w:numPr>
        <w:suppressAutoHyphens w:val="0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Determinazione criteri e limiti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attivit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negoziale del Dirigente Scolastico inerente agli affidamenti diretti di lavori, servizi e forniture (art. 45 c. 2 lett. a D.I. 129/2018) e conseguente variazione Regolamento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acquisizione in economia di lavori, servizi e forniture;  </w:t>
      </w:r>
    </w:p>
    <w:p>
      <w:pPr>
        <w:pStyle w:val="Default"/>
        <w:ind w:left="720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IL CONSIGLIO D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ISTITUTO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VISTO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D.I. 28 agosto 2018 n.129, art.45, comma 2, lett. a), che attribuisce al Consiglio di istituto la competenza di adottare, in via preventiva alle procedure di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negoziale delle Istituzioni scolastiche autonome, la deliberazione relativa alla determinazione dei criteri e dei limiti per lo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affidamento da parte del Dirigente scolastico degli appalti per la fornitura di beni, la prestazione di servizi 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esecuzione di lavori di importo superiore a 10.000,00 euro; 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VISTA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la normativa vigente per le stazioni appaltanti pubbliche prevista dal D.lgs. 18 aprile 2016 n.50, cos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ì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come modificato ed integrato dal D.lgs. 19 aprile 2017 n.56, in materia di affidamenti di lavori, servizi e forniture; 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VISTO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comma 130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art.1, legge 30 dicembre 2018 n.145 (legge di Bilancio 2019); 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VISTO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 comma 912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art.1, legge 30 dicembre 2018 n.145 (legge di Bilancio 2019); 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RITENUTO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che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espletamento in via autonoma delle procedure negoziali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 non possa prescindere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ottimizzazione dei tempi e delle risorse impiegate, nell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ottica della piena attuazione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efficacia e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economicit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azione amministrativa; </w:t>
      </w:r>
    </w:p>
    <w:p>
      <w:pPr>
        <w:pStyle w:val="Default"/>
        <w:ind w:left="720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DELIBERA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1. che tutte le attivit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negoziali da espletare in via autonoma dal Dirigente Scolastico finalizzate all'affidamento di lavori, servizi e forniture per importi sotto la soglia di rilevanza comunitaria prevista per le istituzioni scolastiche - (144.000,00 euro dal 1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°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gennaio 2018 e fino al 31 dicembre 2019) - si uniformino nella loro realizzazione ai criteri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assoluta coerenza e conformit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con quanto in materia previsto e regolato dal combinato disposto degli art.36 e ss. del D.lgs.18 aprile 2016 n.50, del comma 130 e, limitatamente all'affidamento di lavori fino al 31 dicembre 2019, del comma 912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art.1, legge 30 dicembre 2018 n.145 (legge di Bilancio 2019), secondo le sotto riportate modalit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à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: </w:t>
      </w:r>
    </w:p>
    <w:p>
      <w:pPr>
        <w:pStyle w:val="Default"/>
        <w:spacing w:after="147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•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acquisizioni di beni e servizi di importo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fino a 5.000,00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esclusa,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senza obbligo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di fare ricorso al Mercato Elettronico della PA (MEPA); </w:t>
      </w:r>
    </w:p>
    <w:p>
      <w:pPr>
        <w:pStyle w:val="Default"/>
        <w:spacing w:after="147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•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acquisizioni di beni e servizi ed esecuzione di lavori di importo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inferiore a 40.000,00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esclusa, mediante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affidamento diretto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anche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senza previa consultazione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di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due o pi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ù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operatori economici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 per i lavori in amministrazione diretta, secondo quanto previsto e regolato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’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art. 36, comma 2, lett. a) del D.lgs. 18 aprile 2018 n.50; </w:t>
      </w:r>
    </w:p>
    <w:p>
      <w:pPr>
        <w:pStyle w:val="Default"/>
        <w:spacing w:after="147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•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affidamenti di importo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pari o superiore a 40.000,00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 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inferiore a 144.000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esclusa, per le forniture e i servizi, mediante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procedura negoziata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previa consultazione di almeno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cinque operatori economici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sulla base di indagini di mercato o tramite elenchi di operatori economici, nel rispetto di un criterio di rotazione degli inviti, secondo quanto previsto e regolato dall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art. 36, comma 2, lett. b) del D.lgs. 18 aprile 2016 n. 50; </w:t>
      </w:r>
    </w:p>
    <w:p>
      <w:pPr>
        <w:pStyle w:val="Default"/>
        <w:spacing w:after="147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•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affidamenti di lavori di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importo pari o superiore a 40.000,00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 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inferiore a 150.000,00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esclusa,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fino al 31 dicembre 2019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in deroga all'articolo 36, comma 2, del D.lgs. 18 aprile 2016 n. 50, mediante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affidamento diretto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previa consultazione, ove esistenti, di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tre operatori economici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e mediante le procedure di cui al comma 2, lettera b) del medesimo articolo 36 per i lavori di importo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pari o superiore a 150.000,00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 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inferiore a 350.000,00 euro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IVA esclusa. 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2. In considerazione dei criteri sopra esposti determina, altres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ì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, di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elevare fino a 39.999,99 euro il limite di tutte le attivit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negoziali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necessarie per le procedure relative agli affidamenti diretti di lavori, servizi e forniture da espletarsi in via autonoma dal Dirigente scolastico, ovviamente nei limiti degli impegni di spesa autorizzati con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approvazione del Programma annuale e successive modifiche. 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Conseguentemente sar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adeguato il Regolamento per 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acquisizione in economia di lavori, servizi e forniture.</w:t>
      </w:r>
    </w:p>
    <w:p>
      <w:pPr>
        <w:pStyle w:val="Normale"/>
        <w:widowControl w:val="0"/>
        <w:suppressAutoHyphens w:val="0"/>
        <w:spacing w:after="0" w:line="240" w:lineRule="auto"/>
        <w:ind w:left="720" w:firstLine="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Il Consiglio approva all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unanimit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à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.</w:t>
      </w:r>
    </w:p>
    <w:p>
      <w:pPr>
        <w:pStyle w:val="Default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widowControl w:val="0"/>
        <w:numPr>
          <w:ilvl w:val="0"/>
          <w:numId w:val="5"/>
        </w:numPr>
        <w:suppressAutoHyphens w:val="0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Quantificazione consistenza massima del fondo economale per le minute spese e fissazione dell'importo massimo di ogni spesa minuta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e.f. 2019; </w:t>
      </w:r>
    </w:p>
    <w:p>
      <w:pPr>
        <w:pStyle w:val="Normale"/>
        <w:widowControl w:val="0"/>
        <w:suppressAutoHyphens w:val="0"/>
        <w:spacing w:after="0" w:line="240" w:lineRule="auto"/>
        <w:ind w:left="720" w:firstLine="0"/>
        <w:jc w:val="both"/>
      </w:pPr>
    </w:p>
    <w:p>
      <w:pPr>
        <w:pStyle w:val="Normale"/>
        <w:spacing w:line="288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La Dirigente Scolastica che rende noto ai membri del  Consiglio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che in G.U. n.267 del 16 novembre 2018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pubblicato il D.I. n.129 del 28 agosto 2018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Regolamento di contabilit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le istituzioni scolastiche autonome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nel quale, al Capo IV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Servizi di cassa e fondo economale per le minute spese</w:t>
      </w:r>
      <w:r>
        <w:rPr>
          <w:rtl w:val="0"/>
          <w:lang w:val="it-IT"/>
        </w:rPr>
        <w:t>”</w:t>
      </w:r>
      <w:r>
        <w:rPr>
          <w:rFonts w:ascii="Calibri" w:cs="Calibri" w:hAnsi="Calibri" w:eastAsia="Calibri"/>
          <w:b w:val="1"/>
          <w:bCs w:val="1"/>
          <w:caps w:val="1"/>
          <w:rtl w:val="0"/>
          <w:lang w:val="it-IT"/>
        </w:rPr>
        <w:t xml:space="preserve">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21 </w:t>
      </w:r>
      <w:r>
        <w:rPr>
          <w:rtl w:val="0"/>
          <w:lang w:val="it-IT"/>
        </w:rPr>
        <w:t xml:space="preserve">“ </w:t>
      </w:r>
      <w:r>
        <w:rPr>
          <w:rtl w:val="0"/>
          <w:lang w:val="it-IT"/>
        </w:rPr>
        <w:t>Fondo economale per le minute spese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risulta previsto al comma 2 che  il Consiglio di Istituto, in sede di approvazione del programma annuale,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chiamato ad adottare apposita autonoma delibera per stabilire la consistenza massima del fondo economale per le minute spese nonch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 fissare l'importo massimo di ogni spesa minuta, da contenere comunque entro il limite  massimo  previsto  dalla  vigente normativa  in  materia  di  antiriciclaggio  e  utilizzo  del  denaro contante,</w:t>
      </w:r>
    </w:p>
    <w:p>
      <w:pPr>
        <w:pStyle w:val="Normale"/>
        <w:spacing w:line="36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IL CONSIGLIO D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ISTITUTO</w:t>
      </w:r>
    </w:p>
    <w:p>
      <w:pPr>
        <w:pStyle w:val="Normale"/>
        <w:spacing w:after="0" w:line="36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SENTITA</w:t>
        <w:tab/>
      </w:r>
      <w:r>
        <w:rPr>
          <w:rtl w:val="0"/>
          <w:lang w:val="it-IT"/>
        </w:rPr>
        <w:t>la Dirigente Scolastica;</w:t>
      </w:r>
    </w:p>
    <w:p>
      <w:pPr>
        <w:pStyle w:val="Normale"/>
        <w:spacing w:after="0" w:line="360" w:lineRule="auto"/>
        <w:jc w:val="both"/>
        <w:rPr>
          <w:rFonts w:ascii="Calibri" w:cs="Calibri" w:hAnsi="Calibri" w:eastAsia="Calibri"/>
          <w:b w:val="1"/>
          <w:bCs w:val="1"/>
          <w:kern w:val="0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VISTO</w:t>
        <w:tab/>
        <w:tab/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 21 del D.I. n.129/2018;</w:t>
      </w:r>
    </w:p>
    <w:p>
      <w:pPr>
        <w:pStyle w:val="Normale"/>
        <w:spacing w:after="0" w:line="36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kern w:val="0"/>
          <w:rtl w:val="0"/>
          <w:lang w:val="it-IT"/>
        </w:rPr>
        <w:t>VISTI</w:t>
      </w:r>
      <w:r>
        <w:rPr>
          <w:kern w:val="0"/>
          <w:rtl w:val="0"/>
          <w:lang w:val="it-IT"/>
        </w:rPr>
        <w:t xml:space="preserve"> </w:t>
        <w:tab/>
        <w:tab/>
        <w:t>gli orientamenti interpretativi emanati da MIUR con nota prot. n. 74 del 5 gennaio 2019;</w:t>
      </w:r>
    </w:p>
    <w:p>
      <w:pPr>
        <w:pStyle w:val="Normale"/>
        <w:spacing w:after="0" w:line="360" w:lineRule="auto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CONSIDERATA</w:t>
      </w:r>
      <w:r>
        <w:rPr>
          <w:rtl w:val="0"/>
        </w:rPr>
        <w:tab/>
        <w:t xml:space="preserve">la complessiva consistenza delle risorse finanziarie allocate nel P.A. 2019; </w:t>
      </w:r>
    </w:p>
    <w:p>
      <w:pPr>
        <w:pStyle w:val="Normale"/>
        <w:spacing w:after="0" w:line="360" w:lineRule="auto"/>
        <w:jc w:val="both"/>
      </w:pPr>
      <w:r>
        <w:rPr>
          <w:rtl w:val="0"/>
          <w:lang w:val="it-IT"/>
        </w:rPr>
        <w:t xml:space="preserve">a seguito di articolata e positiva discussione, con la seguente votazione espressa in forma palese: </w:t>
      </w:r>
    </w:p>
    <w:p>
      <w:pPr>
        <w:pStyle w:val="Normale"/>
        <w:spacing w:after="0" w:line="360" w:lineRule="auto"/>
        <w:jc w:val="center"/>
        <w:rPr>
          <w:rFonts w:ascii="Calibri" w:cs="Calibri" w:hAnsi="Calibri" w:eastAsia="Calibri"/>
          <w:b w:val="1"/>
          <w:bCs w:val="1"/>
          <w:shd w:val="clear" w:color="auto" w:fill="feffff"/>
        </w:rPr>
      </w:pPr>
      <w:r>
        <w:rPr>
          <w:shd w:val="clear" w:color="auto" w:fill="feffff"/>
          <w:rtl w:val="0"/>
          <w:lang w:val="it-IT"/>
        </w:rPr>
        <w:t>voti favorevoli 12, voti contrari 0_, astenuti 0;</w:t>
      </w:r>
    </w:p>
    <w:p>
      <w:pPr>
        <w:pStyle w:val="Normale"/>
        <w:spacing w:line="360" w:lineRule="auto"/>
        <w:jc w:val="center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PROPONE</w:t>
      </w:r>
    </w:p>
    <w:p>
      <w:pPr>
        <w:pStyle w:val="Normale"/>
        <w:numPr>
          <w:ilvl w:val="0"/>
          <w:numId w:val="7"/>
        </w:numPr>
        <w:spacing w:after="0" w:line="288" w:lineRule="auto"/>
        <w:jc w:val="both"/>
        <w:rPr>
          <w:lang w:val="it-IT"/>
        </w:rPr>
      </w:pPr>
      <w:r>
        <w:rPr>
          <w:rtl w:val="0"/>
          <w:lang w:val="it-IT"/>
        </w:rPr>
        <w:t>la consistenza massima del fondo economale per le minute spese, la cui gestione afferisce al Direttore dei Servizi generali ed Amministrativi ai sensi e per gli effetti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21, comma 4 del D.I. n.129/2018,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stabilita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esercizio finanziario 2019 in euro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DUEMILA</w:t>
      </w:r>
      <w:r>
        <w:rPr>
          <w:rtl w:val="0"/>
          <w:lang w:val="it-IT"/>
        </w:rPr>
        <w:t xml:space="preserve"> (in lettere) </w:t>
      </w:r>
    </w:p>
    <w:p>
      <w:pPr>
        <w:pStyle w:val="Normale"/>
        <w:numPr>
          <w:ilvl w:val="0"/>
          <w:numId w:val="7"/>
        </w:numPr>
        <w:spacing w:after="0" w:line="288" w:lineRule="auto"/>
        <w:jc w:val="both"/>
        <w:rPr>
          <w:lang w:val="it-IT"/>
        </w:rPr>
      </w:pPr>
      <w:r>
        <w:rPr>
          <w:rtl w:val="0"/>
          <w:lang w:val="it-IT"/>
        </w:rPr>
        <w:t xml:space="preserve">l'importo massimo di ogni spesa minuta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stabilito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esercizio finanziario 2019 in euro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cinquanta</w:t>
      </w:r>
      <w:r>
        <w:rPr>
          <w:rtl w:val="0"/>
          <w:lang w:val="it-IT"/>
        </w:rPr>
        <w:t xml:space="preserve"> (in lettere)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. </w:t>
      </w:r>
      <w:r>
        <w:rPr>
          <w:rtl w:val="0"/>
          <w:lang w:val="it-IT"/>
        </w:rPr>
        <w:t>Tale importo risulta essere regolarmente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>contenuto entro il limite massimo di euro 2.999,99 (duemilanovecentonovantanove/99) previsto D.lgs. 25 maggio 2017, n.90;</w:t>
      </w:r>
    </w:p>
    <w:p>
      <w:pPr>
        <w:pStyle w:val="Normale"/>
        <w:numPr>
          <w:ilvl w:val="0"/>
          <w:numId w:val="7"/>
        </w:numPr>
        <w:bidi w:val="0"/>
        <w:spacing w:after="0" w:line="288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rFonts w:ascii="Calibri" w:cs="Calibri" w:hAnsi="Calibri" w:eastAsia="Calibri"/>
          <w:b w:val="0"/>
          <w:bCs w:val="0"/>
          <w:rtl w:val="0"/>
          <w:lang w:val="it-IT"/>
        </w:rPr>
        <w:t>Il limite cos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ì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come sopra stabilito per la consistenza massima del fondo economale, potr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essere superato solo con apposita variazione al programma annuale 2019, proposta dal Dirigente scolastico ed approvata dal Consiglio d'istituto, ai sensi e per gli effetti del D.I. n.129/2018 art.21, comma 6.</w:t>
      </w:r>
    </w:p>
    <w:p>
      <w:pPr>
        <w:pStyle w:val="Normale"/>
        <w:widowControl w:val="0"/>
        <w:suppressAutoHyphens w:val="0"/>
        <w:spacing w:after="0" w:line="240" w:lineRule="auto"/>
        <w:jc w:val="both"/>
        <w:rPr>
          <w:rFonts w:ascii="Calibri" w:cs="Calibri" w:hAnsi="Calibri" w:eastAsia="Calibri"/>
          <w:b w:val="1"/>
          <w:bCs w:val="1"/>
          <w:shd w:val="clear" w:color="auto" w:fill="feffff"/>
        </w:rPr>
      </w:pPr>
      <w:r>
        <w:rPr>
          <w:rFonts w:ascii="Calibri" w:cs="Calibri" w:hAnsi="Calibri" w:eastAsia="Calibri"/>
          <w:b w:val="1"/>
          <w:bCs w:val="1"/>
          <w:shd w:val="clear" w:color="auto" w:fill="feffff"/>
          <w:rtl w:val="0"/>
          <w:lang w:val="it-IT"/>
        </w:rPr>
        <w:t>Il Consiglio approva all</w:t>
      </w:r>
      <w:r>
        <w:rPr>
          <w:rFonts w:ascii="Calibri" w:cs="Calibri" w:hAnsi="Calibri" w:eastAsia="Calibri"/>
          <w:b w:val="1"/>
          <w:bCs w:val="1"/>
          <w:shd w:val="clear" w:color="auto" w:fill="feffff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hd w:val="clear" w:color="auto" w:fill="feffff"/>
          <w:rtl w:val="0"/>
          <w:lang w:val="it-IT"/>
        </w:rPr>
        <w:t>unanimit</w:t>
      </w:r>
      <w:r>
        <w:rPr>
          <w:rFonts w:ascii="Calibri" w:cs="Calibri" w:hAnsi="Calibri" w:eastAsia="Calibri"/>
          <w:b w:val="1"/>
          <w:bCs w:val="1"/>
          <w:shd w:val="clear" w:color="auto" w:fill="feffff"/>
          <w:rtl w:val="0"/>
          <w:lang w:val="it-IT"/>
        </w:rPr>
        <w:t>à</w:t>
      </w:r>
      <w:r>
        <w:rPr>
          <w:rFonts w:ascii="Calibri" w:cs="Calibri" w:hAnsi="Calibri" w:eastAsia="Calibri"/>
          <w:b w:val="1"/>
          <w:bCs w:val="1"/>
          <w:shd w:val="clear" w:color="auto" w:fill="feffff"/>
          <w:rtl w:val="0"/>
          <w:lang w:val="it-IT"/>
        </w:rPr>
        <w:t>.</w:t>
      </w:r>
    </w:p>
    <w:p>
      <w:pPr>
        <w:pStyle w:val="Normale"/>
        <w:spacing w:after="0"/>
        <w:jc w:val="both"/>
      </w:pPr>
    </w:p>
    <w:p>
      <w:pPr>
        <w:pStyle w:val="Normale"/>
        <w:widowControl w:val="0"/>
        <w:numPr>
          <w:ilvl w:val="0"/>
          <w:numId w:val="8"/>
        </w:numPr>
        <w:suppressAutoHyphens w:val="0"/>
        <w:bidi w:val="0"/>
        <w:spacing w:after="0" w:line="288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 xml:space="preserve">Approvazione procedure miste scuola/famiglia organizzazione stage linguistico in Francia: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la Dirigente informa il Consiglio di aver ricevuto richiesta da parte dei genitori delle classi 3L1 e 4L1 di concorrere alla organizzazione degli stage linguistici in Francia. Nello specifico, le famiglie si rendono disponibili ad affiancare la scuola nello svolgimento delle procedure di acquisto dei biglietti aerei e delle spese di stage. In considerazione della richiesta avanzata in forma scritta dai genitori il Consiglio approva all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unanimit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à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. </w:t>
      </w:r>
    </w:p>
    <w:p>
      <w:pPr>
        <w:pStyle w:val="Normale"/>
        <w:numPr>
          <w:ilvl w:val="0"/>
          <w:numId w:val="9"/>
        </w:numPr>
        <w:suppressAutoHyphens w:val="0"/>
        <w:spacing w:after="0" w:line="288" w:lineRule="auto"/>
        <w:jc w:val="both"/>
        <w:rPr>
          <w:lang w:val="it-IT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Reti, protocolli e convenzioni:</w:t>
      </w:r>
      <w:r>
        <w:rPr>
          <w:rtl w:val="0"/>
          <w:lang w:val="it-IT"/>
        </w:rPr>
        <w:t xml:space="preserve"> La DS informa il Consiglio che il prof. Taddeo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a Roma per aderire alla rete nazionale MAT (manutenzione, assistenza tecnica) degli istituti professionali. La partecipazione alle reti di scuole rappresenta occasione di crescita importante per le istituzioni scolastiche e in particolare per il Telesi@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presente nelle reti nazionali dei Licei Classici e dei LES.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prevista per il prossimo futuro anche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adesione alla rete nazionale dei Licei Cambridge. </w:t>
      </w:r>
    </w:p>
    <w:p>
      <w:pPr>
        <w:pStyle w:val="Normale"/>
        <w:numPr>
          <w:ilvl w:val="0"/>
          <w:numId w:val="9"/>
        </w:numPr>
        <w:suppressAutoHyphens w:val="0"/>
        <w:spacing w:after="0" w:line="288" w:lineRule="auto"/>
        <w:jc w:val="both"/>
        <w:rPr>
          <w:lang w:val="it-IT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Integrazione Patto di corresponsabilit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a.s. 2019/2020 con norme sulla prevenzione del bullismo e cyber bullismo e sull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autorizzazione alla pubblicazione delle attivit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istituzionali: </w:t>
      </w:r>
      <w:r>
        <w:rPr>
          <w:rtl w:val="0"/>
          <w:lang w:val="it-IT"/>
        </w:rPr>
        <w:t>la Dirigente informa il Consiglio che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necessario integrare il Patto educativo di corresponsabilit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per adeguarlo alle norme che prevedono la formazione in tema di bullismo e cyberbullismo e alle disposizioni in tema di privacy contenute nel nuovo GDPR. </w:t>
      </w:r>
    </w:p>
    <w:p>
      <w:pPr>
        <w:pStyle w:val="Normale"/>
        <w:numPr>
          <w:ilvl w:val="0"/>
          <w:numId w:val="5"/>
        </w:numPr>
        <w:suppressAutoHyphens w:val="0"/>
        <w:bidi w:val="0"/>
        <w:spacing w:after="0" w:line="288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 xml:space="preserve">Comunicazioni del Presidente del C.I.: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non ci sono comunicazioni da parte del Presidente. </w:t>
      </w:r>
    </w:p>
    <w:p>
      <w:pPr>
        <w:pStyle w:val="Normale"/>
        <w:numPr>
          <w:ilvl w:val="0"/>
          <w:numId w:val="5"/>
        </w:numPr>
        <w:suppressAutoHyphens w:val="0"/>
        <w:bidi w:val="0"/>
        <w:spacing w:after="0" w:line="288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 xml:space="preserve">Comunicazioni della Dirigente scolastica: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la Dirigente comunica che il prossimo 27 gennaio si svolger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una manifestazione per celebrare la giornata della memoria a cura degli studenti della 5SA1 e 5SA2 e invita i presenti a partecipare. </w:t>
      </w:r>
    </w:p>
    <w:p>
      <w:pPr>
        <w:pStyle w:val="Normale"/>
        <w:numPr>
          <w:ilvl w:val="0"/>
          <w:numId w:val="10"/>
        </w:numPr>
        <w:suppressAutoHyphens w:val="0"/>
        <w:bidi w:val="0"/>
        <w:spacing w:after="0" w:line="288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rFonts w:ascii="Calibri" w:cs="Calibri" w:hAnsi="Calibri" w:eastAsia="Calibri"/>
          <w:b w:val="0"/>
          <w:bCs w:val="0"/>
          <w:rtl w:val="0"/>
          <w:lang w:val="it-IT"/>
        </w:rPr>
        <w:t>Nei giorni 6-7 e 8 febbraio, al cinema Modernissimo si svolgeranno manifestazioni dedicate alla prevenzione del bullismo e cyberbullismo che vedranno la partecipazione di esperti esterni qualificati che faranno interventi di formazione.</w:t>
      </w:r>
    </w:p>
    <w:p>
      <w:pPr>
        <w:pStyle w:val="Normale"/>
        <w:numPr>
          <w:ilvl w:val="0"/>
          <w:numId w:val="10"/>
        </w:numPr>
        <w:suppressAutoHyphens w:val="0"/>
        <w:bidi w:val="0"/>
        <w:spacing w:after="0" w:line="288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rFonts w:ascii="Calibri" w:cs="Calibri" w:hAnsi="Calibri" w:eastAsia="Calibri"/>
          <w:b w:val="0"/>
          <w:bCs w:val="0"/>
          <w:rtl w:val="0"/>
          <w:lang w:val="it-IT"/>
        </w:rPr>
        <w:t>Il giorno 5 febbraio, sempre al cinema Modernissimo, interverr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la Polizia Postale nell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ambito della giornata europea di formazione sui rischi connessi all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it-IT"/>
        </w:rPr>
        <w:t xml:space="preserve">uso di internet e delle nuove tecnologie. </w:t>
      </w:r>
    </w:p>
    <w:p>
      <w:pPr>
        <w:pStyle w:val="Normale"/>
        <w:spacing w:after="0" w:line="288" w:lineRule="auto"/>
        <w:jc w:val="both"/>
      </w:pPr>
      <w:r>
        <w:rPr>
          <w:rtl w:val="0"/>
          <w:lang w:val="it-IT"/>
        </w:rPr>
        <w:t>Letto, approvato e sottoscritto il presente verbale, la seduta si scioglie alle ore 17,00</w:t>
      </w:r>
    </w:p>
    <w:p>
      <w:pPr>
        <w:pStyle w:val="Normale"/>
        <w:spacing w:after="0" w:line="288" w:lineRule="auto"/>
        <w:jc w:val="both"/>
      </w:pPr>
    </w:p>
    <w:p>
      <w:pPr>
        <w:pStyle w:val="Normale"/>
        <w:spacing w:after="0" w:line="288" w:lineRule="auto"/>
        <w:jc w:val="both"/>
      </w:pPr>
    </w:p>
    <w:p>
      <w:pPr>
        <w:pStyle w:val="Normale"/>
        <w:spacing w:after="0" w:line="288" w:lineRule="auto"/>
        <w:jc w:val="both"/>
      </w:pPr>
    </w:p>
    <w:p>
      <w:pPr>
        <w:pStyle w:val="Normale"/>
        <w:spacing w:after="0"/>
        <w:jc w:val="center"/>
      </w:pPr>
      <w:r>
        <w:rPr>
          <w:rtl w:val="0"/>
          <w:lang w:val="it-IT"/>
        </w:rPr>
        <w:t>Il Segretario                                                    Il Presidente</w:t>
      </w:r>
    </w:p>
    <w:p>
      <w:pPr>
        <w:pStyle w:val="Normale"/>
        <w:spacing w:after="0"/>
        <w:jc w:val="center"/>
      </w:pPr>
      <w:r>
        <w:rPr>
          <w:rtl w:val="0"/>
          <w:lang w:val="it-IT"/>
        </w:rPr>
        <w:t>Maria Teresa Imparato                                     Antonio Carangelo</w:t>
      </w:r>
    </w:p>
    <w:sectPr>
      <w:headerReference w:type="default" r:id="rId4"/>
      <w:footerReference w:type="default" r:id="rId5"/>
      <w:pgSz w:w="11900" w:h="16840" w:orient="portrait"/>
      <w:pgMar w:top="815" w:right="1134" w:bottom="993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426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297"/>
        </w:tabs>
        <w:ind w:left="101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2017"/>
        </w:tabs>
        <w:ind w:left="173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737"/>
        </w:tabs>
        <w:ind w:left="245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num" w:pos="3457"/>
        </w:tabs>
        <w:ind w:left="317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num" w:pos="4177"/>
        </w:tabs>
        <w:ind w:left="389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4897"/>
        </w:tabs>
        <w:ind w:left="461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num" w:pos="5617"/>
        </w:tabs>
        <w:ind w:left="533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num" w:pos="6337"/>
        </w:tabs>
        <w:ind w:left="605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080"/>
        </w:tabs>
        <w:ind w:left="109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1800"/>
        </w:tabs>
        <w:ind w:left="181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520"/>
        </w:tabs>
        <w:ind w:left="253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num" w:pos="3240"/>
        </w:tabs>
        <w:ind w:left="325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num" w:pos="3960"/>
        </w:tabs>
        <w:ind w:left="397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4680"/>
        </w:tabs>
        <w:ind w:left="469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num" w:pos="5400"/>
        </w:tabs>
        <w:ind w:left="541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num" w:pos="6120"/>
        </w:tabs>
        <w:ind w:left="613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3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0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8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6"/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  <w:tab w:val="num" w:pos="1116"/>
          </w:tabs>
          <w:ind w:left="112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9"/>
            <w:tab w:val="num" w:pos="1836"/>
          </w:tabs>
          <w:ind w:left="184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556"/>
          </w:tabs>
          <w:ind w:left="25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9"/>
            <w:tab w:val="num" w:pos="3276"/>
          </w:tabs>
          <w:ind w:left="328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9"/>
            <w:tab w:val="num" w:pos="3996"/>
          </w:tabs>
          <w:ind w:left="400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4716"/>
          </w:tabs>
          <w:ind w:left="472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9"/>
            <w:tab w:val="num" w:pos="5436"/>
          </w:tabs>
          <w:ind w:left="544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9"/>
            <w:tab w:val="num" w:pos="6156"/>
          </w:tabs>
          <w:ind w:left="61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9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9"/>
            <w:tab w:val="num" w:pos="1080"/>
          </w:tabs>
          <w:ind w:left="1091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9"/>
            <w:tab w:val="num" w:pos="1418"/>
          </w:tabs>
          <w:ind w:left="1429" w:hanging="3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9"/>
            <w:tab w:val="num" w:pos="1800"/>
          </w:tabs>
          <w:ind w:left="1811" w:hanging="37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9"/>
            <w:tab w:val="num" w:pos="2127"/>
          </w:tabs>
          <w:ind w:left="2138" w:hanging="3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9"/>
            <w:tab w:val="num" w:pos="2520"/>
          </w:tabs>
          <w:ind w:left="2531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9"/>
            <w:tab w:val="num" w:pos="2836"/>
          </w:tabs>
          <w:ind w:left="284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9"/>
            <w:tab w:val="num" w:pos="3240"/>
          </w:tabs>
          <w:ind w:left="3251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9"/>
            <w:tab w:val="num" w:pos="3545"/>
          </w:tabs>
          <w:ind w:left="3556" w:hanging="31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Stile importato 2">
    <w:name w:val="Stile importato 2"/>
    <w:pPr>
      <w:numPr>
        <w:numId w:val="4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